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6B_179/2018 vom 27. Juli 2018</w:t>
      </w:r>
    </w:p>
    <w:p>
      <w:r>
        <w:t>Bundesgericht, 2018-07-27, FR</w:t>
      </w:r>
    </w:p>
    <w:p>
      <w:r>
        <w:rPr>
          <w:b/>
        </w:rPr>
        <w:t xml:space="preserve">Quelle: </w:t>
      </w:r>
      <w:r>
        <w:t>https://mcp.opencaselaw.ch/entscheid/bger_6B_179_2018</w:t>
      </w:r>
    </w:p>
    <w:p>
      <w:r>
        <w:t>FR: TF 6B_179/2018 du 27 juillet 2018</w:t>
      </w:r>
    </w:p>
    <w:p>
      <w:r>
        <w:t>IT: TF 6B_179/2018 del 27 luglio 2018</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arrêts cités).</w:t>
      </w:r>
    </w:p>
    <w:p>
      <w:r>
        <w:rPr>
          <w:b/>
        </w:rPr>
        <w:t>E. 1.2</w:t>
      </w:r>
    </w:p>
    <w:p>
      <w:r>
        <w:t>La recourante reproche à son époux de s'être montré violent physiquement à plusieurs reprises, notamment de l'avoir étranglée et de lui avoir donné des coups de poing et de pied, ainsi que de lui avoir interdit de sortir de leur domicile. Elle allègue que les conséquences tant physiques que morales que les faits ont eu sur sa personne sont d'une importance suffisante pour justifier une indemnisation.</w:t>
      </w:r>
    </w:p>
    <w:p>
      <w:r>
        <w:t>Les infractions dénoncées par la recourante constituent des infractions graves contre l'intégrité physique et contre la liberté. La décision de non-entrée en matière apparaît donc de nature à influencer négativement le jugement des prétentions de la recourante en réparation du tort moral. Cela suffit, au stade de la recevabilité, pour reconnaître à la recourante la qualité pour recourir au sens de l'art. 81 al. 1 let. b ch. 5 LTF ( ATF 141 IV 1 consid. 1.1 p. 4).</w:t>
      </w:r>
    </w:p>
    <w:p>
      <w:r>
        <w:rPr>
          <w:b/>
        </w:rPr>
        <w:t>E. 2</w:t>
      </w:r>
    </w:p>
    <w:p>
      <w:r>
        <w:t>La recourante produit pour la première fois un rapport de consultation ambulatoire de l'Unité interdisciplinaire de médecine et de prévention de la violence (UIMPV) des Hôpitaux Universitaires de Genève (HUG), daté du 6 novembre 2017. Les pièces nouvelles ne sont pas admissibles devant le Tribunal fédéral à moins de résulter de la décision précédente, ce qui n'est pas le cas en l'espèce ( art. 99 al. 1 LTF ; cf. BERNARD CORBOZ, Commentaire de la LTF, 2ème éd., no 19 ad art. 99 LTF ). Cette pièce est donc irrecevable.</w:t>
      </w:r>
    </w:p>
    <w:p>
      <w:r>
        <w:rPr>
          <w:b/>
        </w:rPr>
        <w:t>E. 3</w:t>
      </w:r>
    </w:p>
    <w:p>
      <w:r>
        <w:t>Invoquant l'arbitraire dans l'établissement des faits, la recourante reproche à la cour cantonale de ne pas avoir retenu qu'elle entreprenait un suivi médical au sein de l'UIMPV des HUG, unité spécialisée dans la prise en charge des personnes qui ont vécu des situations de violence. En outre, elle se plaint d'une violation du principe " in dubio pro duriore " ainsi que d'une violation de l' art. 8 CEDH en tant que cette disposition a notamment pour but la protection et la reconnaissance des victimes de violences conjugales.</w:t>
      </w:r>
    </w:p>
    <w:p>
      <w:r>
        <w:rPr>
          <w:b/>
        </w:rPr>
        <w:t>E. 3.1</w:t>
      </w:r>
    </w:p>
    <w:p>
      <w:r>
        <w:t>Conformément à l' art. 310 al. 1 let. a CPP ,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 in dubio pro duriore " (arrêt 6B_1456/2017 du 14 mai 2018 consid. 4.1 et les références citées). Celui-ci découle du principe de la légalité (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w:t>
      </w:r>
    </w:p>
    <w:p>
      <w:r>
        <w:t>Dans les procédures où l'accusation repose essentiellement sur les déclarations de la victime, auxquelles s'opposent celles du prévenu et lorsqu'il n'est pas possible d'estimer que certaines dépositions sont plus crédibles que d'autres, le principe " in dubio pro duriore " impose en règle générale, au stade de la clôture de l'instruction, que le prévenu soit mis en accusation ( ATF 143 IV 241 consid. 2.2.2 p. 243 et les arrêts cités; arrêts 6B_193/2018 du 3 juillet 2018 consid. 2.1; 6B_1177/2017 du 16 avril 2018 consid. 2.1). En amont, une telle configuration exclut aussi, en principe, une décision de non-entrée en matière.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 ATF 143 IV 241 consid. 2.2.2 p. 243; arrêt 6B_874/2017 du 18 avril 2018 consid. 5.1). Suivant les circonstances, les mêmes motifs peuvent aussi permettre, en particulier si la crédibilité de la partie plaignante est d'emblée remise en question par des éléments manifestement probants, de rendre une décision de non-entrée en matière.</w:t>
      </w:r>
    </w:p>
    <w:p>
      <w:r>
        <w:rPr>
          <w:b/>
        </w:rPr>
        <w:t>E. 3.2</w:t>
      </w:r>
    </w:p>
    <w:p>
      <w:r>
        <w:t>La cour cantonale a confirmé la décision de non-entrée en matière du ministère public pour les infractions de séquestration et de lésions corporelles en raison des versions divergentes des parties et en l'absence de tout autre moyen de preuve. Elle n'a cependant pas constaté que la recourante aurait fait des déclarations contradictoires qui la rendait moins crédible que son époux, ou encore que des éléments probants permettaient de dénier d'entrée de cause toute crédibilité à ses accusations.</w:t>
      </w:r>
    </w:p>
    <w:p>
      <w:r>
        <w:t>Il ressort en outre de la décision attaquée que la recourante a décrit avec précision les actes qu'elle alléguait avoir subi, en particulier les événements survenus le 10 juillet 2016. La recourante avait fourni à la police des photographies d'hématomes extraites de son téléphone. Si les clichés ne permettaient pas de l'identifier, la cour cantonale n'a cependant pas exclu que des actes d'instruction eussent permis d'établir la date des prises de vue et ainsi de vérifier si elle correspondait, à quelques jours près, à la date à laquelle la recourante affirmait avoir été frappée. A cela s'ajoute que l'intimé et les parents de celui-ci ont admis que la recourante ne sortait jamais seule, bien qu'ils aient affirmé que cela ne lui était pas interdit. Enfin, à la suite du dépôt de sa plainte à la police, la recourante avait été accueillie dans un foyer d'urgence. Son mari lui avait alors envoyé des messages d'injures et de menaces, y compris des menaces de mort, faits pour lesquels il avait été condamné.</w:t>
      </w:r>
    </w:p>
    <w:p>
      <w:r>
        <w:t>Il en découle que les circonstances du cas d'espèce justifiaient d'instruire la situation de fait et, dans ce cadre, d'examiner la crédibilité des déclarations des intéressés. C ompte tenu de la jurisprudence précitée, les conditions d'une non-entrée en matière n'étaient pas remplies. Le grief de violation du principe " in dubio pro duriore " s'avère ainsi fondé. Le recours doit être admis et la cause renvoyée à l'autorité inférieure afin qu'elle ordonne l'ouverture d'une instruction.</w:t>
      </w:r>
    </w:p>
    <w:p>
      <w:r>
        <w:rPr>
          <w:b/>
        </w:rPr>
        <w:t>E. 3.3</w:t>
      </w:r>
    </w:p>
    <w:p>
      <w:r>
        <w:t>Compte tenu de ce qui précède, le grief d'arbitraire dans l'établissement des faits soulevé par la recourante est sans objet, puisqu'une instruction doit être ouverte. Il en va de même du grief de violation de l' art. 8 CEDH .</w:t>
      </w:r>
    </w:p>
    <w:p>
      <w:r>
        <w:rPr>
          <w:b/>
        </w:rPr>
        <w:t>E. 4</w:t>
      </w:r>
    </w:p>
    <w:p>
      <w:r>
        <w:t>La recourante obtient gain de cause. Elle ne supportera pas de frais judiciaires ( art. 66 al. 1 LTF ). Elle peut prétendre à une indemnité de dépens, à la charge pour moitié chacun, d'une part, du canton de Genève et, d'autre part, de l'intimé ( art. 68 al. 1 et 2 LTF ). Cela rend sans objet sa demande d'assistance judiciaire. Une partie des frais judiciaires sont mis à la charge de l'intimé, qui succombe, le canton de Genève n'ayant pas à en supporter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