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6B_179/2015 vom 26. August 2015</w:t>
      </w:r>
    </w:p>
    <w:p>
      <w:r>
        <w:t>Bundesgericht, 2015-08-26, FR</w:t>
      </w:r>
    </w:p>
    <w:p>
      <w:r>
        <w:rPr>
          <w:b/>
        </w:rPr>
        <w:t xml:space="preserve">Quelle: </w:t>
      </w:r>
      <w:r>
        <w:t>https://mcp.opencaselaw.ch/entscheid/bger_6B_179_2015</w:t>
      </w:r>
    </w:p>
    <w:p>
      <w:r>
        <w:t>FR: TF 6B_179/2015 du 26 août 2015</w:t>
      </w:r>
    </w:p>
    <w:p>
      <w:r>
        <w:t>IT: TF 6B_179/2015 del 26 agosto 2015</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La recourante indique que, gravement blessée à la suite d'un accident ferroviaire, elle est une victime LAVI et que la question de l'existence d'un lien de causalité entre l'omission reprochée à l'intimé et les lésions corporelles graves subies se posera en des termes comparables s'agissant de l'application de l' art. 41 CO , de sorte qu'elle aurait qualité pour recourir, sans exposer quelles prétentions civiles elle entend faire valoir.</w:t>
      </w:r>
    </w:p>
    <w:p>
      <w:r>
        <w:t>L'infraction dénoncée, à savoir des lésions corporelles graves, constitue une infraction grave contre l'intégrité physique. Il apparaît d'emblée que la décision de classement est, en soi, de nature à influencer négativement le jugement de prétentions en réparation du dommage et du tort moral que X.________ pourrait élever en raison des lésions subies. Il est cependant douteux que la recourante puisse faire valoir des prétentions fondées sur le droit privé directement contre l'intimé (cf. art. 51 de la loi fédérale du 20 mars 2009 sur le trafic des voyageurs [LTV; RS 745.1] et art. 40b à 40f de la loi fédérale du 20 décembre 1957 sur les chemins de fer [LCdF; RS 742.101]). Cet aspect peut demeurer indécis vu le sort du recours.</w:t>
      </w:r>
    </w:p>
    <w:p>
      <w:r>
        <w:rPr>
          <w:b/>
        </w:rPr>
        <w:t>E. 2</w:t>
      </w:r>
    </w:p>
    <w:p>
      <w:r>
        <w:t>La recourante reproche à la juridiction cantonale d'avoir établi certains faits de manière manifestement inexacte. Elle soutient que la cour cantonale aurait procédé à une appréciation arbitraire des preuves en ignorant qu'une signalisation correcte aurait permis une réduction importante de la vitesse et, partant, une distance de freinage plus courte. Elle lui reproche aussi de n'avoir pas donné suite à ses réquisitions tendant à déterminer à quelle vitesse le train aurait circulé si la signalisation choisie avait été conforme aux prescriptions en vigueur.</w:t>
      </w:r>
    </w:p>
    <w:p>
      <w:r>
        <w:rPr>
          <w:b/>
        </w:rPr>
        <w:t>E. 2.1</w:t>
      </w:r>
    </w:p>
    <w:p>
      <w:r>
        <w:t>Le Tribunal fédéral est un juge du droit. Il ne peut revoir les faits établis par l'autorité précédente que si ceux-ci l'ont été de manière manifestement inexacte ( art. 97 al. 1 LTF ), c'est-à-dire arbitraire (cf. ATF 138 III 378 consid. 6.1 p. 379). On peut renvoyer, sur la notion d'arbitraire, aux principes maintes fois exposés par le Tribunal fédéral (cf. ATF 140 III 16 consid. 2.1 p. 18 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L'autorité cantonale a indiqué que la causalité hypothétique n'était pas réalisée en l'occurrence puisque l'accomplissement de l'acte omis n'aurait vraisemblablement pas empêché la survenance du résultat au sens où l'entend la jurisprudence. En effet, en cas d'omission, la question de la causalité ne se présente pas de la même manière qu'en cas de commission ( ATF 134 IV 255 consid. 4.4.1 p. 264 s.). L'omission d'un acte est en relation de causalité naturelle avec le résultat de l'infraction présumée si son accomplissement eût empêché la survenance de ce résultat avec une vraisemblance confinant à la certitude ou, du moins, avec une haute vraisemblance ( ATF 116 IV 306 consid. 2a p. 310; cf. également ATF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w:t>
      </w:r>
    </w:p>
    <w:p>
      <w:r>
        <w:rPr>
          <w:b/>
        </w:rPr>
        <w:t>E. 2.3</w:t>
      </w:r>
    </w:p>
    <w:p>
      <w:r>
        <w:t>En l'occurrence, si le chef de circulation avait suivi les prescriptions de signalisation qui s'imposaient, le conducteur du train aurait dû entrer en gare à une vitesse de 20 km/h et la distance de freinage aurait été de 20,693 m, alors que le train est entré en gare à une vitesse de 22 km/h mais en décélérant puisqu'au début du freinage d'urgence, la vitesse était de 16-17 km/h et que la distance de freinage n'a été que de 12 m. La vitesse du convoi a certes exercé une influence sur la survenue de l'accident mais dans la mesure où elle était, de fait, celle que les prescriptions exigeaient, il n'y a pas lieu de rechercher ce qui se serait passé si le conducteur du train avait circulé en-dessous des 20 km/h autorisés. Dans cette hypothèse, en effet, quelle que soit la vitesse effective, ni un comportement ni une omission pénalement répréhensible n'auraient pu être reprochés au chef de circulation. Dès lors, l'observation des prescriptions relatives aux feux n'aurait, très vraisemblablement, pas évité le résultat. Le raisonnement de la cour cantonale ne prête pas le flanc à la critique.</w:t>
      </w:r>
    </w:p>
    <w:p>
      <w:r>
        <w:rPr>
          <w:b/>
        </w:rPr>
        <w:t>E. 2.4</w:t>
      </w:r>
    </w:p>
    <w:p>
      <w:r>
        <w:t>Il s'ensuit, par ailleurs, le conducteur du train n'ayant jamais été mis en prévention puisqu'il avait adapté son comportement de façon optimale aux indications reçues du chef de circulation, qu'il n'y a pas lieu de s'écarter de l'appréciation de l'autorité cantonale, selon laquelle l'audition des experts visant à déterminer à quelle vitesse le train serait entré en gare si la signalisation avait été correctement donnée, n'est pas pertinente pour l'établissement des faits déterminant la responsabilité pénale de l'intimé.</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