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178/2021 vom 24. Februar 2022</w:t>
      </w:r>
    </w:p>
    <w:p>
      <w:r>
        <w:t>Bundesgericht, 2022-02-24, DE</w:t>
      </w:r>
    </w:p>
    <w:p>
      <w:r>
        <w:rPr>
          <w:b/>
        </w:rPr>
        <w:t xml:space="preserve">Quelle: </w:t>
      </w:r>
      <w:r>
        <w:t>https://mcp.opencaselaw.ch/entscheid/bger_6B_178_2021</w:t>
      </w:r>
    </w:p>
    <w:p>
      <w:r>
        <w:t>FR: TF 6B 178/2021 du 24 février 2022</w:t>
      </w:r>
    </w:p>
    <w:p>
      <w:r>
        <w:t>IT: TF 6B 178/2021 del 24 febbraio 2022</w:t>
      </w:r>
    </w:p>
    <w:p>
      <w:pPr>
        <w:pStyle w:val="Heading2"/>
      </w:pPr>
      <w:r>
        <w:t>Regeste</w:t>
      </w:r>
    </w:p>
    <w:p>
      <w:r>
        <w:t>Prozessvollmacht | Strafprozess</w:t>
      </w:r>
    </w:p>
    <w:p>
      <w:pPr>
        <w:pStyle w:val="Heading2"/>
      </w:pPr>
      <w:r>
        <w:t>Erwägungen</w:t>
      </w:r>
    </w:p>
    <w:p>
      <w:r>
        <w:rPr>
          <w:b/>
        </w:rPr>
        <w:t>E. 1.1</w:t>
      </w:r>
    </w:p>
    <w:p>
      <w:r>
        <w:t>Gemäss Art. 40 BGG können in Zivil- und Strafsachen Parteien vor Bundesgericht nur von Anwälten und Anwältinnen vertreten werden, die nach dem Anwaltsgesetz vom 23. Juni 2000 oder nach einem Staatsvertrag berechtigt sind, Parteien vor schweizerischen Gerichtsbehörden zu vertreten (Abs. 1). Die Parteivertreter und -vertreterinnen haben sich durch eine Vollmacht auszuweisen (Abs. 2). Fehlt bei Beizug eines Vertreters die Vollmacht oder ist die Vertretung nicht zugelassen, so wird eine angemessene Frist zur Behebung des Mangels mit der Androhung angesetzt, dass die Rechtsschrift sonst unbeachtet bleibt ( Art. 42 Abs. 5 BGG ).</w:t>
      </w:r>
    </w:p>
    <w:p>
      <w:r>
        <w:rPr>
          <w:b/>
        </w:rPr>
        <w:t>E. 1.2</w:t>
      </w:r>
    </w:p>
    <w:p>
      <w:r>
        <w:t>Vor dem Bundesgericht besteht kein Vertretungsobligatorium oder gar ein sog. Anwaltszwang (LAURENT MERZ, in: Basler Kommentar, Bundesgerichtsgesetz, 3. Auflage 2018, N. 1 zu Art. 40 BGG ; YVES DONZALLAZ, Loi sur le Tribunal fédéral, Commentaire, 2018, N. 768 ff. zu Art. 40 BGG ). Das Institut der notwendigen Verteidigung, wie es die Strafprozessordnung vorsieht, ist dem bundesgerichtlichen Beschwerdeverfahren unbekannt. Insbesondere ist eine im kantonalen Strafverfahren eingesetzte amtliche Verteidigung im Verfahren vor Bundesgericht nicht beachtlich (vgl. BGE 146 IV 364 E. 1.2 mit Hinweisen; vgl. ferner Urteile 6B_957/2018 vom 21. November 2018 E. 1; 6B_28/2018 vom 7. August 2018 E. 3.3.2; je mit Hinweisen).</w:t>
      </w:r>
    </w:p>
    <w:p>
      <w:r>
        <w:rPr>
          <w:b/>
        </w:rPr>
        <w:t>E. 1.3.1</w:t>
      </w:r>
    </w:p>
    <w:p>
      <w:r>
        <w:t>Die beschuldigte Person kann im Strafverfahren zur Wahrung ihrer Interessen grundsätzlich einen Rechtsbeistand ihrer Wahl bestellen (sog. Wahlverteidiger; Art. 127 Abs. 1 und 129 Abs. 1 StPO, Art. 32 Abs. 2 BV , Art. 6 Ziff. 3 lit. c EMRK sowie Art. 14 Abs. 3 UNO-Pakt II ). Dies erfolgt durch Abschluss eines einfachen Auftrags nach Art. 394 ff. OR (vgl. statt aller Stephan Schlegel, Die Verwirklichung des Rechts auf Wahlverteidigung, Diss. Zürich, 2010, S. 87 ff.; allgemein zum Anwaltsvertrag Walter Fellmann, Anwaltsrecht, 2. Aufl., 2017, Rz. 1139). Die Ausübung der Wahlverteidigung gemäss Art. 129 Abs. 2 StPO setzt weiter eine schriftliche Vollmacht oder eine protokollierte Erklärung der beschuldigten Person voraus (Schlegel, a.a.O., S. 92 ff.). Das Auftragsverhältnis erlischt namentlich durch Erfüllung, Zeitablauf oder Kündigung nach Art. 404 OR , womit regelmässig auch der (stillschweigende) Widerruf der Prozessvollmacht einhergeht (Schlegel, a.a.O., S. 100).</w:t>
      </w:r>
    </w:p>
    <w:p>
      <w:r>
        <w:rPr>
          <w:b/>
        </w:rPr>
        <w:t>E. 1.3.2</w:t>
      </w:r>
    </w:p>
    <w:p>
      <w:r>
        <w:t>Eine Wahlverteidigung kann in eine amtliche Verteidigung umgewandelt werden, wenn die beschuldigte Person nicht über die erforderlichen Mittel verfügt und die Verteidigung zur Wahrung ihrer Interessen geboten ist ( Art. 132 Abs. 1 lit. b StPO ). Anders als der Wahlverteidiger, der lediglich auftragsrechtlich tätig wird, erfüllt der amtliche Verteidiger eine staatliche Aufgabe. Mit seiner Einsetzung durch die Verfahrensleitung entsteht zwischen ihm und dem Staat ein besonderes, öffentlich-rechtliches Rechtsverhältnis ( BGE 141 I 124 E. 3.1 ; 131 I 217 E. 2.4; Urteil 1B_385/2021 vom 25. Oktober 2021 E. 4.2; je mit weiteren Hinweisen). Bei der amtlichen Verteidigung handelt es sich um eine zwar zugunsten der beschuldigten Person wirkende, letztlich aber im öffentlichen Interesse liegende Verpflichtung des Staates (Niklaus Oberholzer, Grundzüge des Strafprozessrechts, 4. Aufl. 2020, Rz. 442). Während die Vertretungsbefugnis des Wahlverteidigers auf einer schriftlichen Ermächtigung ( Art. 129 Abs. 2 StPO ), d.h. auf einer rechtsgeschäftlichen Willenserklärung der beschuldigten Person beruht, ist der amtliche Verteidiger aufgrund der behördlichen Bestellung ex lege zur Prozessvertretung befugt.</w:t>
      </w:r>
    </w:p>
    <w:p>
      <w:r>
        <w:rPr>
          <w:b/>
        </w:rPr>
        <w:t>E. 1.3.3</w:t>
      </w:r>
    </w:p>
    <w:p>
      <w:r>
        <w:t>Bei einer Umwandlung einer Wahlverteidigung in eine amtliche Verteidigung endet in aller Regel das privatrechtliche Auftragsverhältnis zwischen dem Verteidiger und der beschuldigten Person; entsprechend bildet auch nicht Art. 394 Abs. 3 OR , sondern das öffentlich-rechtliche Verhältnis zwischen dem Kanton und dem amtlichen Verteidiger die Rechtsgrundlage für dessen Entschädigung ( BGE 139 IV 261 E. 2.2.1; Urteil 1B_385/2021 vom 25. Oktober 2021 E. 4.2 mit Hinweisen). Zwar ist nach der Rechtsprechung die gleichzeitige Verteidigung durch einen amtlichen und einen Wahlverteidiger nicht ausgeschlossen. So kann es beispielsweise zulässig und geboten sein, einen amtlichen Verteidiger zusätzlich zu einer bereits bestehenden Wahlverteidigung zu bestellen, wenn ein Beschuldigter durch die ständige Bestellung und Abberufung von Verteidigern versucht, das Strafverfahren zu verschleppen; ähnliche Überlegungen gelten, wenn fraglich ist, ob die Finanzierung und damit das Fortbestehen der Wahlverteidigung mindestens bis zum Abschluss des erstinstanzlichen Verfahrens gewährleistet ist (vgl. Urteile 6B_744/2017 vom 27. Februar 2018 E. 1.4; 1B_291/2012 vom 28. Juni 2012 E. 2.3.2). Wenn hingegen die Umwandlung der Wahlverteidigung in eine amtliche Verteidigung auf Ersuchen der beschuldigten Person bzw. ihres Rechtsbeistands selbst erfolgt, endet das privatrechtliche Wahlverteidigungsverhältnis und an dessen Stelle treten die Rechte und Pflichten, die im öffentlich-rechtlichen Rechtsverhältnis zwischen dem amtlichen Verteidiger und dem Kanton gründen.</w:t>
      </w:r>
    </w:p>
    <w:p>
      <w:r>
        <w:rPr>
          <w:b/>
        </w:rPr>
        <w:t>E. 1.4</w:t>
      </w:r>
    </w:p>
    <w:p>
      <w:r>
        <w:t>Im vorliegenden Fall liess sich Dr. B.________ am 13. Oktober 2015, also im Nachgang zum Urteil des Strafgerichts Basel-Stadt vom 22. September 2015, von A.________ zunächst privatrechtlich als Wahlverteidiger mandatieren. Die entsprechende Vollmachtsurkunde gemäss Art. 129 Abs. 2 StPO datiert vom gleichen Tag. In der Folge ersuchte der Beschuldigte, vertreten durch seinen Wahlverteidiger, beim Strafgericht jedoch sogleich um Einsetzung einer neuen amtlichen Verteidigung, also um Umwandlung des Wahlverteidigungsmandats von Dr. B.________ in eine amtliche Verteidigung. Mit Verfügung vom 27. Oktober 2015 entsprach das Strafgericht dem Gesuch. Art. 130 lit. a StPO wurde von der Vorinstanz zutreffend für die ganze Dauer des kantonalen Strafverfahrens als erfüllt qualifiziert. Mit der Umwandlung in eine amtliche Verteidigung endete das privatrechtliche Wahlverteidigungsverhältnis zwischen A.________ und Dr. B.________ und damit einhergehend wurde auch die vom 13. Oktober 2015 datierte Vollmacht nach Art. 129 Abs. 2 StPO (zumindest stillschweigend) widerrufen. Letzteres drängt sich umso mehr auf, als zwischen A.________ und Dr. B.________ seit Juni 2017 kein Kontakt mehr besteht. A.________ hat mit seinem nachrichtenlosen Untertauchen gegenüber seinem früheren amtlichen Verteidiger ein Desinteresse demonstriert, das sich nur als Widerruf der Prozessermächtigung deuten lässt. Damit kann die Urkunde vom 13. Oktober 2015 nicht als gültige Vollmacht für das bundesgerichtliche Beschwerdeverfahren nach Art. 40 Abs. 2 BGG qualifiziert werden. Es obliegt nicht einem nicht ordentlich bevollmächtigen Rechtsvertreter, im Namen einer Partei Beschwerde beim Bundesgericht zu erheben, ohne von dieser entsprechend instruiert worden zu sein oder nur schon über eine gültige Vollmacht zu verfügen (vgl. BGE 146 IV 364 E. 1.2). Nachdem Dr. B.________ innert der ihm angesetzten Frist keine aktualisierte Vollmacht nachreichen konnte, ist auf die Beschwerde wegen Fehlens einer Prozessvoraussetzung nicht einzutreten.</w:t>
      </w:r>
    </w:p>
    <w:p>
      <w:r>
        <w:rPr>
          <w:b/>
        </w:rPr>
        <w:t>E. 2</w:t>
      </w:r>
    </w:p>
    <w:p>
      <w:r>
        <w:t>Unter den gegebenen Umständen ist ausnahmsweise auf die Erhebung von Gerichtskosten zu verzichten (Art. 66 Abs. 1 zweiter Satz BGG). Auf das Gesuch um unentgeltliche Rechtspflege und Verbeiständung kann mangels gehöriger Bevollmächtigung des angeblichen Vertreters durch den Beschwerdeführer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