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6B_176/2013 vom 13. Mai 2013</w:t>
      </w:r>
    </w:p>
    <w:p>
      <w:r>
        <w:t>Bundesgericht, 2013-05-13, DE</w:t>
      </w:r>
    </w:p>
    <w:p>
      <w:r>
        <w:rPr>
          <w:b/>
        </w:rPr>
        <w:t xml:space="preserve">Quelle: </w:t>
      </w:r>
      <w:r>
        <w:t>https://mcp.opencaselaw.ch/entscheid/bger_6B_176_2013</w:t>
      </w:r>
    </w:p>
    <w:p>
      <w:r>
        <w:t>FR: TF 6B_176/2013 du 13 mai 2013</w:t>
      </w:r>
    </w:p>
    <w:p>
      <w:r>
        <w:t>IT: TF 6B_176/2013 del 13 maggio 2013</w:t>
      </w:r>
    </w:p>
    <w:p>
      <w:pPr>
        <w:pStyle w:val="Heading2"/>
      </w:pPr>
      <w:r>
        <w:t>Erwägungen</w:t>
      </w:r>
    </w:p>
    <w:p>
      <w:r>
        <w:rPr>
          <w:b/>
        </w:rPr>
        <w:t>E. 1</w:t>
      </w:r>
    </w:p>
    <w:p>
      <w:r>
        <w:t>Wer jemanden bei einem anderen eines unehrenhaften Verhaltens oder anderer Tatsachen, die geeignet sind, seinen Ruf zu schädigen, beschuldigt oder verdächtigt, wer eine solche Beschuldigung oder Verdächtigung weiterverbreitet, wird, auf Antrag, wegen übler Nachrede mit Geldstrafe bis 180 Tagessätzen bestraft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117 IV 27 E. 2c; je mit Hinweisen; ferner das Urteil 6B_333/2008 vom 9. März 2009 E. 1.1 mit Hinweisen).</w:t>
      </w:r>
    </w:p>
    <w:p>
      <w:r>
        <w:rPr>
          <w:b/>
        </w:rPr>
        <w:t>E. 2.1</w:t>
      </w:r>
    </w:p>
    <w:p>
      <w:r>
        <w:t>Der Beschwerdeführer rügt, die Vorinstanz habe zu Unrecht die Tatbestandsmässigkeit von Art. 173 Abs. 1 StGB verneint und den Beschwerdegegner freigesprochen. Es werde im Schreiben vom 20. November 2008 mit der Erwähnung eines "Gegengeschäfts" der Eindruck erweckt, es handle sich um ein dubioses Geschäft. Die Wendung "informiert oder auch nicht informiert" meine, er habe die Interessen, die er vertrete, im Dunkeln gehalten. Diese Interessen seien undurchsichtig und sehr wahrscheinlich die eigenen. Der unbefangene Leser gehe daher davon aus, dass er korrupt sei. Dieser Korruptionsvorwurf verletze ihn als ehrbaren Menschen, nicht nur sein berufliches Ansehen. Die Verletzung seines beruflichen Ansehens, wie etwa der Vorwurf, die Standesregeln und weitere Pflichten zu verletzen, schlage zudem auf seine Geltung als ehrbarer Mensch durch. Der Vorwurf, er habe sich in einem Interessenkonflikt befunden, erreiche im Gesamtkontext des Briefes den Grad des Korruptionsvorwurfes (Beschwerde, S. 5 ff.).</w:t>
      </w:r>
    </w:p>
    <w:p>
      <w:r>
        <w:rPr>
          <w:b/>
        </w:rPr>
        <w:t>E. 2.2</w:t>
      </w:r>
    </w:p>
    <w:p>
      <w:r>
        <w:t>Welcher Sinn einer Äusserung zukommt, ist eine Rechtsfrage. Gegenstand eines Strafverfahrens wegen übler Nachrede sind Tatsachenbehauptungen, nicht ein Gesamtbild, welches durch mehrere Tatsachenbehauptungen gezeichnet wird. Ein solches Gesamtbild kann aber für die Auslegung der einzelnen Äusserungen im Gesamtzusammenhang von Bedeutung sein ( BGE 124 IV 162 E. 3b S. 167 zu Art. 23 i.V.m. Art. 3 lit. a UWG betreffend unrichtige, irreführende oder unnötig verletzende Äusserungen).</w:t>
      </w:r>
    </w:p>
    <w:p>
      <w:r>
        <w:t>Den Tatbestand der üblen Nachrede im Sinne von Art. 173 StGB erfüllen ehrverletzende Tatsachenbehauptungen über den Verletzten gegenüber Dritten. Ob die Tatsachenbehauptung wahr oder unwahr ist, betrifft nicht die Tatbestandsmässigkeit, sondern die Strafbarkeit (siehe Art. 173 Ziff. 2 StGB ). Wissentlich unwahre ehrverletzende Tatsachenbehauptungen über den Verletzten gegenüber Dritten erfüllen nicht den Tatbestand der üblen Nachrede ( Art. 173 StGB ), sondern den Tatbestand der Verleumdung im Sinne von Art. 174 StGB .</w:t>
      </w:r>
    </w:p>
    <w:p>
      <w:r>
        <w:rPr>
          <w:b/>
        </w:rPr>
        <w:t>E. 2.3</w:t>
      </w:r>
    </w:p>
    <w:p>
      <w:r>
        <w:t>Auf die ausführlichen und differenzierten Erwägungen der Vorinstanz kann verwiesen werden. Sie kommt insgesamt zum Schluss, dass der Beschwerdegegner dem Beschwerdeführer im Schreiben vom 20. November 2008 keine dubiosen Geschäfte, keine Verfolgung eigener oder undurchsichtiger beziehungsweise die Vermischung von Interessen, sowie keine Korruption vorwirft.</w:t>
      </w:r>
    </w:p>
    <w:p>
      <w:r>
        <w:t>Die Vorinstanz weist zu Recht auf die bundesgerichtliche Rechtsprechung zum Ehrbegriff hin. Sie verneint zutreffend die erstinstanzliche Auffassung, wonach das inkriminierte Schreiben als Gesamtheit zu betrachten und der Tatbestand der üblen Nachrede anhand der Ehrenrührigkeit dieses Gesamtbildes zu beurteilen ist. Zu untersuchen sind vielmehr stets die einzelnen Äusserungen, wobei deren Inhalt mithilfe des Kontextes einzuordnen ist (Urteil, S. 15 ff.).</w:t>
      </w:r>
    </w:p>
    <w:p>
      <w:r>
        <w:t>Der Beschwerdegegner wirft dem Beschwerdeführer in den weiteren Absätzen des Briefes gemäss Vorinstanz einen Interessenkonflikt vor, der jedoch nicht die Standes- und Berufsregeln als freiberuflicher Anwalt, sondern ausschliesslich seine Tätigkeit als Stiftungsratspräsident betrifft. Der Interessenkonflikt bedeutet lediglich, dass der Beschwerdeführer für die Stiftung gewisse Entscheidungen getroffen und an solchen mitgewirkt hat, mit denen er sich potentiell in Konflikt zu eigenen oder anderen zur Wahrung übertragenen Interessen begeben hat. Dies heisst nicht, dass er als Stiftungsratspräsident bei Entscheidungen für die A.________ deren Interessen zuwidergehandelt, diese vernachlässigt oder verletzt hat. Ebenso wenig hat er damit seine eigenen Interessen oder diejenigen seines Mandanten, C.________, vor die Interessen der A.________ gestellt. Der Beschwerdegegner hat lediglich gerügt, dass bei gewissen Entscheidungen die Möglichkeit der Beeinträchtigung der Stiftungsinteressen bestanden habe. Dieser Vorwurf berührt, wenn überhaupt, höchstens die berufliche Geltung (Urteil, S. 21 f.).</w:t>
      </w:r>
    </w:p>
    <w:p>
      <w:r>
        <w:t>Die Vorinstanz stuft den Vorwurf des Interessenkonflikts zu Recht als nicht ehrverletzend ein. Weder ist dadurch der Ruf des Beschwerdeführers als ehrbarer Mensch noch seine sittliche Ehre tangiert. Dies gilt selbst, wenn er allfällige Ausstandsgründe missachtet hätte. Die vom Beschwerdegegner geäusserte Vermutung, dass der Beschwerdeführer bei der Vermietung der F.________-klinik an die A.________ ein Gegengeschäft mit C.________ abschliessen wird, kann als Prognose über ein zukünftiges Ereignis den Tatbestand der üblen Nachrede nicht erfüllen.</w:t>
      </w:r>
    </w:p>
    <w:p>
      <w:r>
        <w:t>Ebenfalls nicht ehrenrührig ist die im Brief geäusserte Feststellung, wonach das G.________, bei dem ebenfalls C.________ die Finger im Spiel habe, mit einem Tauschgeschäft der A.________ verkauft werden wird. Der Vorwurf, eigenmächtig gehandelt und informiert zu haben, setzt den Beschwerdeführer als Geschäfts- und Berufsmann herab, wie die Vorinstanz zutreffend festhält, berührt jedoch nicht seine ethische Integrität. Dass das Schreiben auf offiziellem Briefpapier der Gemeinde Davos erfolgte, ist nachvollziehbar, weil der Beschwerdegegner als offizieller Gemeindevertreter Einsitz im Stiftungsrat gehabt hat (Urteil, S. 24 f.)</w:t>
      </w:r>
    </w:p>
    <w:p>
      <w:r>
        <w:rPr>
          <w:b/>
        </w:rPr>
        <w:t>E. 2.4</w:t>
      </w:r>
    </w:p>
    <w:p>
      <w:r>
        <w:t>Da keine strafrechtlich relevante Ehrverletzungshandlung erkennbar ist, ist auf die Vorbringen des Beschwerdeführers zum Wahrheits- und Gutglaubensbeweis im Zusammenhang mit der Eventualbegründung der Vorinstanz nicht einzugehen.</w:t>
      </w:r>
    </w:p>
    <w:p>
      <w:r>
        <w:rPr>
          <w:b/>
        </w:rPr>
        <w:t>E. 2.5</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