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174/2018 vom 16. Oktober 2018</w:t>
      </w:r>
    </w:p>
    <w:p>
      <w:r>
        <w:t>Bundesgericht, 2018-10-16, DE</w:t>
      </w:r>
    </w:p>
    <w:p>
      <w:r>
        <w:rPr>
          <w:b/>
        </w:rPr>
        <w:t xml:space="preserve">Quelle: </w:t>
      </w:r>
      <w:r>
        <w:t>https://mcp.opencaselaw.ch/entscheid/bger_6B_174_2018</w:t>
      </w:r>
    </w:p>
    <w:p>
      <w:r>
        <w:t>FR: TF 6B 174/2018 du 16 octobre 2018</w:t>
      </w:r>
    </w:p>
    <w:p>
      <w:r>
        <w:t>IT: TF 6B 174/2018 del 16 ottobre 2018</w:t>
      </w:r>
    </w:p>
    <w:p>
      <w:pPr>
        <w:pStyle w:val="Heading2"/>
      </w:pPr>
      <w:r>
        <w:t>Regeste</w:t>
      </w:r>
    </w:p>
    <w:p>
      <w:r>
        <w:t>Versuchte schwere Körperverletzung (Art. 122 Abs. 1 StGB i.V.m. Art. 22 Abs. 1 StGB) | Straftaten</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1.1</w:t>
      </w:r>
    </w:p>
    <w:p>
      <w:r>
        <w:t>Der Beschwerdeführer bringt vor, er sei dahingehend angeklagt worden, einen einzigen Schlag gegen den Kopf von B.________ ausgeführt zu haben. Dieser sei dann auf das dort im Teer eingelassene Gleis gestürzt. Es gelte damit, etwas den tatsächlichen Feststellungen der Vorinstanz entgegenzusetzen. Dass den tatsächlichen Feststellungen der Vorinstanz "etwas" entgegenzusetzen sei, genügt den Begründungsanforderungen von Art. 106 Abs. 2 BGG nicht. Auf die Rüge ist nicht einzutreten.</w:t>
      </w:r>
    </w:p>
    <w:p>
      <w:r>
        <w:rPr>
          <w:b/>
        </w:rPr>
        <w:t>E. 1.2.1</w:t>
      </w:r>
    </w:p>
    <w:p>
      <w:r>
        <w:t>Der Beschwerdeführer rügt, B.________ sei nicht als Folge des Faustschlages und des Fusstritts zu Boden gefallen. Der Fusstritt sei für den Sturz nicht ursächlich gewesen. Er rügt weiter, dass die von B.________ erlittenen Verletzungen nicht den Grad einer schweren Körperverletzung im Sinne von Art. 122 StGB erreichen würden. Die von der Vorinstanz erwähnten Beispiele aus der bundesgerichtlichen Rechtsprechung seien mit dem vorliegend zu beurteilenden Fall kaum vergleichbar. Es sei absurd, sich auf den Standpunkt zu stellen, dass er sich auf den Parkplatz begeben habe, mit der Absicht, seinen Onkel zu schlagen. Es sei vielmehr von einem spontanen Schlagen auszugehen. Die Vorinstanz verfalle in Willkür, wenn sie argumentiere, er habe wissen müssen, dass der Aufprall von B.________ auf den Boden mit einer gewissen Wahrscheinlichkeit zu schweren Kopf- und Hirnverletzungen und damit zu einer Lebensgefahr führen könne. Ebenso willkürlich sei die Annahme, dass er dieses Ergebnis in Kauf genommen habe. Diese Schlussfolgerung sei bereits deshalb weltfremd, weil es für ihn, als nicht sonderlich gebildeten Ausländer, keine klaren Umstände gebe, welche auf Eventualvorsatz schliessen lassen würden. Vom blossen Wissen um die Möglichkeit des Erfolgseintritts könne nicht auf dessen Inkaufnahme geschlossen werden.</w:t>
      </w:r>
    </w:p>
    <w:p>
      <w:r>
        <w:rPr>
          <w:b/>
        </w:rPr>
        <w:t>E. 1.2.2</w:t>
      </w:r>
    </w:p>
    <w:p>
      <w:r>
        <w:t>Die Vorinstanz erwägt, der Beschwerdeführer habe den in abgewandter Stellung telefonierenden und damit unvorbereiteten und wehrlosen B.________ unvermittelt derart hart ins Gesicht geschlagen, dass dieser sofort zu Boden gegangen sei. Und noch während B.________ am Fallen gewesen sei, habe der Beschwerdeführer ihm zusätzlich hart mit dem Fuss ins Gesicht getreten. Es sei für den Beschwerdeführer offensichtlich und voraussehbar gewesen, dass B.________ als Folge davon völlig unkontrolliert mit dem Kopf auf dem harten Boden aufschlagen würde, was auch geschehen sei. Es sei für jedermann bekannt, dass ein solcher Aufprall mit einer gewissen Wahrscheinlichkeit zu schweren Kopf- und Hirnverletzungen und damit zu einer Lebensgefahr führen könne, was der Beschwerdeführer selbst an der Berufungsverhandlung als denkbar bestätigt habe. Der Beschwerdeführer habe folglich in Kauf genommen, dass B.________ lebensgefährlich verletzt werde. Dass dieser Erfolg ausblieb und B.________ keine schwere Hirnverletzung davon trug, sei einzig dem Glück zu verdanken.</w:t>
      </w:r>
    </w:p>
    <w:p>
      <w:r>
        <w:rPr>
          <w:b/>
        </w:rPr>
        <w:t>E. 1.2.3</w:t>
      </w:r>
    </w:p>
    <w:p>
      <w:r>
        <w:t>Was der Täter wusste, wollte oder in Kauf nahm, betrifft sogenannte innere Tatsachen, die vor Bundesgericht nur im Rahmen von Art. 97 Abs. 1 BGG gerügt werden können ( BGE 137 IV 1 E. 4.2.3). Eventualvorsätzlich begeht ein Verbrechen oder Vergehen, wer die Verwirklichung der Tat für möglich hält und in Kauf nimmt ( Art. 12 Abs. 2 StGB ). Ob der Täter die Tatbestandsverwirklichung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Was der Beschwerdeführer vorbringt, lässt die vorinstanzlichen Feststellungen in Bezug auf sein Wissen nicht als willkürlich erscheinen. Zumal die Tatbestandsverwirklichung nach den Feststellungen der Vorinstanz nicht nur möglich, sondern sich gar als wahrscheinlich aufdrängte, durfte diese auf die Inkaufnahme des Erfolgs schliessen, ohne dabei in Willkür zu verfallen. Dass der tatbestandsmässige Erfolg ausbleibt, ist ein Wesensmerkmal des Versuchs, womit es unerheblich ist, dass die von B.________ tatsächlich erlittenen Verletzungen keine schweren Körperverletzungen im Sinne von Art. 122 StGB sein sollen. Ebenso irrelevant ist in dieser Hinsicht auch, ob neben dem Faustschlag auch der Fusstritt für den Sturz von B.________ kausal war. Die Rüge ist unbegründet.</w:t>
      </w:r>
    </w:p>
    <w:p>
      <w:r>
        <w:rPr>
          <w:b/>
        </w:rPr>
        <w:t>E. 2.1</w:t>
      </w:r>
    </w:p>
    <w:p>
      <w:r>
        <w:t>Der Beschwerdeführer kritisiert die Strafzumessung. Er macht geltend, dass - entgegen der Auffassung der Vorinstanz - die ausländerrechtlichen Folgen einer rechtskräftigen Verurteilung für ihn zum Tatzeitpunkt weder absehbar noch kalkulierbar gewesen seien. Eine zweijährige Freiheitsstrafe würde ihn vom schweizerischen Arbeitsmarkt ausschliessen. Eine Freiheitsstrafe von maximal 12 Monaten hätte keine solchen Konsequenzen und wäre angemessener. Überdies würde - obwohl er keine Geldstrafe verlange - eine Freiheitsstrafe von maximal 12 Monaten besser mit Art. 41 StGB im Einklang stehen. Die Tat sei schliesslich nicht geplant gewesen und es habe sich vielmehr um eine blosse Überreaktion gegenüber dem Onkel gehandelt, womit nicht von einer erhöhten kriminellen Energie auszugehen sei.</w:t>
      </w:r>
    </w:p>
    <w:p>
      <w:r>
        <w:rPr>
          <w:b/>
        </w:rPr>
        <w:t>E. 2.2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Eine drohende ausländerrechtliche Wegweisung aus der Schweiz begründet alleine keine erhöhte Strafempfindlichkeit, die bei der Strafzumessung zu berücksichtigen wäre (Urteil 6B_203/2010 vom 27. Mai 2010 E. 5.3.3 mit Hinweisen). Was der Beschwerdeführer mit dem Hinweis auf Art. 41 StGB bezweckt, ist unklar. Jedenfalls lässt dies, ebenso wie die anderen Vorbringen des Beschwerdeführens, nicht den Schluss zu, dass die Vorinstanz bei der Strafzumessung das ihr zustehende Ermessen überschritten hätte. Die Rüge ist unbegründet.</w:t>
      </w:r>
    </w:p>
    <w:p>
      <w:r>
        <w:rPr>
          <w:b/>
        </w:rPr>
        <w:t>E. 3</w:t>
      </w:r>
    </w:p>
    <w:p>
      <w:r>
        <w:t>Die Beschwerde ist abzuweisen, soweit darauf eingetreten werden kann. Der Beschwerdeführer trägt die Kosten des Verfahrens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