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173/2023 vom 26. Mai 2023</w:t>
      </w:r>
    </w:p>
    <w:p>
      <w:r>
        <w:t>Bundesgericht, 2023-05-26, DE</w:t>
      </w:r>
    </w:p>
    <w:p>
      <w:r>
        <w:rPr>
          <w:b/>
        </w:rPr>
        <w:t xml:space="preserve">Quelle: </w:t>
      </w:r>
      <w:r>
        <w:t>https://mcp.opencaselaw.ch/entscheid/bger_6B_173_2023</w:t>
      </w:r>
    </w:p>
    <w:p>
      <w:r>
        <w:t>FR: TF 6B 173/2023 du 26 mai 2023</w:t>
      </w:r>
    </w:p>
    <w:p>
      <w:r>
        <w:t>IT: TF 6B 173/2023 del 26 maggio 2023</w:t>
      </w:r>
    </w:p>
    <w:p>
      <w:pPr>
        <w:pStyle w:val="Heading2"/>
      </w:pPr>
      <w:r>
        <w:t>Regeste</w:t>
      </w:r>
    </w:p>
    <w:p>
      <w:r>
        <w:t>Versuchte schwere Körperverletzung; Gewalt und Drohung gegen Behörde und Beamte; Hinderung einer Amtshandlung; Strafzumessung; rechtliches Gehör | Straftaten</w:t>
      </w:r>
    </w:p>
    <w:p>
      <w:pPr>
        <w:pStyle w:val="Heading2"/>
      </w:pPr>
      <w:r>
        <w:t>Erwägungen</w:t>
      </w:r>
    </w:p>
    <w:p>
      <w:r>
        <w:rPr>
          <w:b/>
        </w:rPr>
        <w:t>E. 1</w:t>
      </w:r>
    </w:p>
    <w:p>
      <w:r>
        <w:t>Nach Art. 54 Abs. 1 BGG wird das Verfahren vor dem Bundesgericht in einer der Amtssprachen geführt; in der Regel in der Sprache des angefochtenen Entscheids. Rechtsschriften sind ebenfalls in einer Amtssprache abzufassen ( Art. 42 Abs. 1 BGG ). Diese muss jedoch nicht mit der Sprache des vorinstanzlichen Verfahrens übereinstimmen. Der Beschwerdeführer verfasste seine Beschwerdeeingabe zulässigerweise in französischer Sprache. Das Verfahren wird jedoch in der Sprache des angefochtenen Entscheids und somit auf Deutsch geführt ( Art. 54 Abs. 1 BGG ).</w:t>
      </w:r>
    </w:p>
    <w:p>
      <w:r>
        <w:rPr>
          <w:b/>
        </w:rPr>
        <w:t>E. 2.1</w:t>
      </w:r>
    </w:p>
    <w:p>
      <w:r>
        <w:t>Der Beschwerdeführer rügt eine Verletzung von Art. 405 Abs. 1 in Verbindung mit Art. 346 StPO , des Anspruchs auf rechtliches Gehör sowie des Rechts auf ein faires Verfahren. Die Vorinstanz habe an der Berufungsverhandlung zuerst die Verteidigung und anschliessend die Staatsanwaltschaft plädieren lassen. Nach dem zweiten Parteivortrag sei der Verteidigung (nach demjenigen der Staatsanwaltschaft) kein weiterer Parteivortrag bzw. keine Stellungnahme gestattet und ihr nicht das letzte Wort gewährt worden.</w:t>
      </w:r>
    </w:p>
    <w:p>
      <w:r>
        <w:rPr>
          <w:b/>
        </w:rPr>
        <w:t>E. 2.2.1</w:t>
      </w:r>
    </w:p>
    <w:p>
      <w:r>
        <w:t>Die mündliche Berufungsverhandlung richtet sich nach den Bestimmungen über die erstinstanzliche Hauptverhandlung ( Art. 405 Abs. 1 StPO ). Nach Abschluss des Beweisverfahrens stellen und begründen die Parteien ihre Anträge. Die Parteivorträge finden in folgender Reihenfolge statt: Staatsanwaltschaft ( Art. 346 Abs. 1 lit. a StPO ), Privatklägerschaft ( Art. 346 Abs. 1 lit. b StPO ), Dritte, die von einer beantragten Einziehung betroffen sind ( Art. 346 Abs. 1 lit. c StPO ), die beschuldigte Person oder ihre Verteidigung ( Art. 346 Abs. 1 lit. d StPO ). Die Parteien haben das Recht auf einen zweiten Parteivortrag ( Art. 346 Abs. 2 StPO ). Eine Pflicht hierzu besteht nicht. Das Recht auf einen weiteren Vortrag steht der beschuldigten Person bzw. der Verteidigung nur zu, wenn der Staatsanwalt oder der Privatkläger ein zweites Mal plädiert haben. Dies ergibt sich daraus, dass nach der in Art. 346 Abs. 1 StPO festgelegten Reihenfolge der Parteivorträge die Verteidigung als letzte der Parteien plädiert und daher zu den Vorträgen der Staatsanwaltschaft und der Privatkläger Stellung nehmen kann (Urteil 6B_422/2017 vom 12. Dezember 2017 E. 5.3 mit Hinweisen). Nach der Rechtsprechung kann für das zweitinstanzliche Verfahren von der gesetzlich vorgesehenen Reihenfolge abgewichen werden, da diese nicht zwingend ist und es näher liegt, der die Berufung erklärenden Partei zunächst die Gelegenheit für die Begründung ihrer Einwände gegen das erstinstanzliche Urteil zu geben. Daraus erwachsen der beschuldigten Person keine Nachteile. Entscheidend ist dabei, dass dieser im Anschluss an den Parteivortrag der Staatsanwaltschaft und allfälliger Privatkläger die Gelegenheit eingeräumt wird, sich nochmals zu äussern (Urteil 6B_422/2017 vom 12. Dezember 2017 E. 5.4.1 mit Hinweisen).</w:t>
      </w:r>
    </w:p>
    <w:p>
      <w:r>
        <w:rPr>
          <w:b/>
        </w:rPr>
        <w:t>E. 2.2.2</w:t>
      </w:r>
    </w:p>
    <w:p>
      <w:r>
        <w:t>Der Anspruch auf rechtliches Gehör (vgl. Art. 29 Abs. 2 BV ) verlangt, dass die Behörde die Vorbringen des vom Entscheid in seiner Rechtsstellung Betroffenen auch tatsächlich hört, prüft und in der Entscheidfindung berücksichtigt. Der Anspruch auf rechtliches Gehör ist formeller Natur und seine Verletzung führt grundsätzlich ungeachtet der materiellen Begründetheit der Beschwerde zu deren Gutheissung und zur Aufhebung des angefochtenen Entscheids ( BGE 144 I 11 E. 5.3; 143 IV 380 E. 1.4.1; je mit Hinweisen). Eine allfällige Verletzung des rechtlichen Gehörs kann im Verf ahren vor Bundesgericht geheilt werden, wenn ausschliesslich Rechtsfragen streitig sind, die das Bundesgericht mit freier Kognition beurteilen kann, und wenn dem Beschwerdeführer durch die Heilung kein Nachteil erwächst ( BGE 147 IV 340 E. 4.11.3; je mit Hinweisen).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2.3</w:t>
      </w:r>
    </w:p>
    <w:p>
      <w:r>
        <w:t>Die Rechtsvertreterin des Beschwerdeführers beantragte im Rahmen der Vorfragen an der Berufungsverhandlung, es sei ihr bei den Parteivorträgen das letzte Wort zu gewähren, auch für den Fall, dass die Reihenfolge der Parteivorträge nicht dem Gesetz entspreche. Die Vorinstanz lehnte dies mit der Begründung ab, praxisgemäss plädiere zuerst der Berufungsführer, danach der Anschlussberufungsführer, dar aufhin folgten Replik und Duplik. Ein Recht der Verteidigung, zur Duplik erneut Stellung zu nehmen, bestehe nicht. Unter Umständen rechtfertige sich das, wenn in der Duplik wesentliche neue Aspekte vorgetragen würden. Es seien keine Umstände ersichtlich, von dieser Vorgehensweise abzuweichen. Das letzte Wort stehe dem Beschuldigten zu. Nach dem Beweisverfahren wurde der Rechtsvertreterin des Beschwerdeführers das Wort für den ersten Parteivortrag übergeben. Dagegen bringt der Beschwerdeführer zu Recht nichts vor (vgl. oben E. 2.2.1). Darauf folgend plädierte die Staatsanwältin. Alsdann replizierte die Rechtsvertreterin des Beschwerdeführers und duplizierte die Staatsanwältin. Anschliessend an die Duplik der Staatsanwältin ersuchte die Rechtsvertreterin des Beschwerdeführers um eine (weitere) Stellungnahme. Dies wurde ihr nicht gestattet, da - mit Verweis auf den obengenannten, diesbezüglich gefassten Beschluss - die Staatsanwältin keine wesentlichen neue Aspekte oder neue Tatsachen vorgebracht habe. Der Beschwerdeführer macht geltend, die Staatsanwältin habe in ihrer Duplik die Argumentation des Beschwerdeführers in einer Weise falsch interpretiert, welche Anlass zur Richtigstellung gegeben habe. Zur Duplik der Staatsanwältin protokollierte die Vorinstanz knapp eine Seite. Die Staatsanwältin äusserte sich dabei insbesondere zur Glaubhaftigkeit von Aussagen, (umstrittenen) Sachverhaltskomplexen sowie zur Strafzumessung. Indem die Vorinstanz in der vorliegenden Konstellation für eine weitere Stellungnahme der Verteidigung wesentliche neue Aspekte oder neue Tatsachen verlangt, weicht sie - ohne sich damit auseinanderzusetzen - von der bundesgerichtlichen Rechtsprechung ab, welche eine solche Voraussetzung nicht vorsieht (vgl. oben E. 2.2.1). Das Vorgehen der Vorinstanz erweist sich als nicht rechtskonform und verletzt den (vorliegend durch das Bundesgericht nicht heilbaren) Anspruch auf rechtliches Gehör. Das Urteil ist aus diesem Grund aufzuheben.</w:t>
      </w:r>
    </w:p>
    <w:p>
      <w:r>
        <w:rPr>
          <w:b/>
        </w:rPr>
        <w:t>E. 3</w:t>
      </w:r>
    </w:p>
    <w:p>
      <w:r>
        <w:t>Nach dem Gesagten erübrigt es sich, auf die weiteren Rügen des Beschwerdeführers einzutreten.</w:t>
      </w:r>
    </w:p>
    <w:p>
      <w:r>
        <w:rPr>
          <w:b/>
        </w:rPr>
        <w:t>E. 4</w:t>
      </w:r>
    </w:p>
    <w:p>
      <w:r>
        <w:t>Die Beschwerde ist gutzuheissen, soweit darauf eingetreten werden kann. Das angefochtene Urteil ist aufzuheben und die Sache zur Wahrung des Anspruchs auf rechtliches Gehör sowie zur neuen Entscheidung an die Vorinstanz zurückzuweisen. Dem Kanton Bern sind keine Gerichtskosten aufzuerlegen ( Art. 66 Abs. 4 BGG ). Der Kanton Bern hat dem Beschwerdeführer für das bundesgerichtliche Verfahren eine angemessene Parteientschädigung auszurichten ( Art. 68 Abs. 1 BGG ). Damit wird das Gesuch um unentgeltliche Rechtspflege gegenstandslos. Die Entschädigung wird praxisgemäss der Rechtsvertreterin des Beschwerdeführers ausgerichtet. Auf die Einholung von Vernehmlassungen kann verzichtet werden, da diese bundesgerichtliche Entscheidung sachlich keine präjudizierende Wirkung entfaltet und die Vorinstanz bei der Neubeurteilung das rechtliche Gehör gewähren wird ( BGE 133 IV 293 E. 3.4.2 f.; Urteil 6B_1430/2021 vom 15. Februar 2023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