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6B_171/2015 vom 22. Dezember 2015</w:t>
      </w:r>
    </w:p>
    <w:p>
      <w:r>
        <w:t>Bundesgericht, 2015-12-22, FR</w:t>
      </w:r>
    </w:p>
    <w:p>
      <w:r>
        <w:rPr>
          <w:b/>
        </w:rPr>
        <w:t xml:space="preserve">Quelle: </w:t>
      </w:r>
      <w:r>
        <w:t>https://mcp.opencaselaw.ch/entscheid/bger_6B_171_2015</w:t>
      </w:r>
    </w:p>
    <w:p>
      <w:r>
        <w:t>FR: TF 6B_171/2015 du 22 décembre 2015</w:t>
      </w:r>
    </w:p>
    <w:p>
      <w:r>
        <w:t>IT: TF 6B_171/2015 del 22 dicembre 2015</w:t>
      </w:r>
    </w:p>
    <w:p>
      <w:pPr>
        <w:pStyle w:val="Heading2"/>
      </w:pPr>
      <w:r>
        <w:t>Erwägungen</w:t>
      </w:r>
    </w:p>
    <w:p>
      <w:r>
        <w:rPr>
          <w:b/>
        </w:rPr>
        <w:t>E. 1</w:t>
      </w:r>
    </w:p>
    <w:p>
      <w:r>
        <w:t>Le recourant a indiqué procéder au Tribunal fédéral par la voie du recours constitutionnel subsidiaire.</w:t>
      </w:r>
    </w:p>
    <w:p>
      <w:r>
        <w:t>En vertu de l' art. 113 LTF , la voie du recours constitutionnel subsidiaire est ouverte contre les décisions de dernière instance qui ne peuvent faire l'objet d'aucun recours selon les art. 72 à 89. La voie du recours en matière pénale est ouverte en l'espèce ( art. 78 ss LTF ).</w:t>
      </w:r>
    </w:p>
    <w:p>
      <w:r>
        <w:t>L'intitulé erroné du recours ne saurait préjuger de la voie ouverte, ni porter préjudice au recourant, pour autant que son écriture remplisse les conditions formelles de la voie de droit en cause (au sujet d'une voie de recours erronée, cf. ATF 138 I 367 consid. 1.1 p. 370; 134 III 379 consid. 1.2 p. 382). Le recours ayant été déposé en temps utile ( art. 100 al. 1 LTF ) et dans les formes prescrites par la loi ( art. 42 LTF ), il y a lieu d'entrer en matière.</w:t>
      </w:r>
    </w:p>
    <w:p>
      <w:r>
        <w:rPr>
          <w:b/>
        </w:rPr>
        <w:t>E. 2</w:t>
      </w:r>
    </w:p>
    <w:p>
      <w:r>
        <w:t>A titre de mesure d'instruction, le recourant requiert la mise en oeuvre d'une expertise comptable "apte à répondre aux allégations figurant dans le texte du jugement de la Cour pénale du 15 janvier 2015".</w:t>
      </w:r>
    </w:p>
    <w:p>
      <w:r>
        <w:t>Il n'y a pas lieu de donner suite à cette requête, les conditions exceptionnelles pour prononcer une mesure probatoire devant le Tribunal fédéral n'étant pas réunies (cf. ATF 136 II 101 consid. 2).</w:t>
      </w:r>
    </w:p>
    <w:p>
      <w:r>
        <w:rPr>
          <w:b/>
        </w:rPr>
        <w:t>E. 3</w:t>
      </w:r>
    </w:p>
    <w:p>
      <w:r>
        <w:t>A plusieurs reprises dans son écriture, le recourant se plaint que la Cour d'appel a refusé une expertise comptable. Une telle expertise aurait permis de jeter la lumière sur sa situation financière.</w:t>
      </w:r>
    </w:p>
    <w:p>
      <w:r>
        <w:rPr>
          <w:b/>
        </w:rPr>
        <w:t>E. 3.1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3.2</w:t>
      </w:r>
    </w:p>
    <w:p>
      <w:r>
        <w:t>La cour cantonale a estimé qu'une expertise comptable n'amènerait rien. Les éléments de revenus et fortune avaient été étudiés à chaque nouvelle décision. Il existait une confusion dans les comptes de la société du prévenu, vu le mélange de revenus et des remboursements de créances par le seul fait du prévenu lui-même. Or, un comptable commis en qualité d'expert ne pourrait dissocier ces deux types de revenu. Cette confusion - admise du reste par le recourant - lui était donc opposable.</w:t>
      </w:r>
    </w:p>
    <w:p>
      <w:r>
        <w:t>Le recourant ne partage pas l'avis précité mais n'explique pas en quoi le raisonnement des juges cantonaux serait arbitraire, ce qu'il lui appartenait de démontrer (cf. consid. 3.1 ci-dessus). Quoi qu'il en soit, la motivation de la cour cantonale n'apparaît pas insoutenable. Les juges cantonaux pouvaient dès lors, sans violer le droit d'être entendu du recourant, écarter son offre de preuve. Ce grief doit par conséquent être rejeté dans la mesure de sa recevabilité.</w:t>
      </w:r>
    </w:p>
    <w:p>
      <w:r>
        <w:rPr>
          <w:b/>
        </w:rPr>
        <w:t>E. 4</w:t>
      </w:r>
    </w:p>
    <w:p>
      <w:r>
        <w:t>Le recourant discute librement le jugement entrepris. Ses critiques se rapportent essentiellement aux constatations de fait et à l'appréciation de ceux-ci par la cour cantonale.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rPr>
          <w:b/>
        </w:rPr>
        <w:t>E. 4.2</w:t>
      </w:r>
    </w:p>
    <w:p>
      <w:r>
        <w:t>En l'espèce, il ressort du jugement attaqué que le juge civil a considéré que le salaire hypothétique du recourant n'était pas inférieur à 6'150 fr. par mois. La cour cantonale a repris ce constat et relevé que l'intéressé avait intentionnellement rendu confuse sa situation financière, brouillant les cartes quant à l'origine de ses différents revenus. De surcroît, cette situation avait été examinée successivement par différents juges qui l'avaient tous astreint au paiement d'aliments en retenant une capacité contributive significative. La Cour d'appel a encore examiné plus spécifiquement un relevé produit par le recourant, relatif à ses revenus et aux remboursements de montants avancés à sa société. Elle a souligné la discordance entre certaines pièces et le relevé présenté, qui ne pouvait être expliquée au vu du dossier. Sur la base des éléments précités, les juges cantonaux sont arrivés à la conclusion que le recourant avait les moyens de remplir son obligation d'entretien ou aurait pu les avoir.</w:t>
      </w:r>
    </w:p>
    <w:p>
      <w:r>
        <w:t>Le recourant fait valoir que "les oscillations des montants imputés à l'obligation d'entretien prouvent que les décisions prises sont fondées sur des appréciations subjectives et non sur [sa] réelle situation financière" (ch. 1.4 du recours). Il apparaît toutefois que la difficulté rencontrée par les différents tribunaux pour établir le revenu du recourant vient plutôt du fait que celui-ci n'a jamais présenté une situation très claire, laissant par conséquent le soin aux juges d'établir un revenu hypothétique. Dans le cas particulier, le recourant n'allègue pas que la cour cantonale aurait constaté les faits de manière arbitraire ou se serait fondée sur des éléments ne figurant pas au dossier pour retenir, en se basant sur un revenu hypothétique, qu'il avait des moyens suffisants. Il se contente de soutenir que les arguments du président de la cour cantonale "révèlent de manière flagrante son incapacité à comprendre les documents comptables [qu'il avait transmis]" (ch. 1.2 du recours) et que ledit président n'aurait pas dû "se substituer à un expert pour rendre une décision sur des éléments qui lui échappent totalement" (ch. 1.9 du recours). Une telle motivation n'est toutefois pas suffisante dans le cadre d'un recours au Tribunal fédéral (cf. consid. 4.1 ci-dessus). Quoi qu'il en soit, il y a lieu de relever que la cour cantonale s'est fondée sur des éléments suffisants et probants pour conclure que le recourant avait les moyens de remplir son obligation d'entretien ou aurait pu les avoir. Même si, aux yeux du recourant, cette conclusion est critiquable, elle n'en est pas pour autant insoutenable (cf. consid. 4.1 ci-dessus).</w:t>
      </w:r>
    </w:p>
    <w:p>
      <w:r>
        <w:rPr>
          <w:b/>
        </w:rPr>
        <w:t>E. 5</w:t>
      </w:r>
    </w:p>
    <w:p>
      <w:r>
        <w:t>Enfin, on peine à suivre le recourant lorsqu'il soutient qu'il y a "un conflit d'intérêt évident entre le Bureau de recouvrement et d'avances sur pensions alimentaires (BRAPA) [...] et la justice vaudoise", conflit qui aurait joué en sa défaveur et privilégié l'Etat de Vaud (ch. 1.10 du recours). En l'occurrence, le BRAPA est partie à la procédure dans la mesure où l'épouse du recourant, créancière de la dette alimentaire, lui a cédé ses droits. En portant plainte contre le recourant, le BRAPA a rempli son mandat, tel qu'il est prévu par le législateur vaudois (cf. art. 8 de la loi vaudoise du 10 février 2004 sur le recouvrement et les avances sur pensions alimentaires; RS/VD 850.36), et a agi dans l'intérêt de la créancière.</w:t>
      </w:r>
    </w:p>
    <w:p>
      <w:r>
        <w:t>C'est finalement en vain que le recourant se plaint de l'accès à la justice, faisant valoir que "s'il on n'a pas les moyens de se défendre, on a pas accès à la possibilité de se défendre et d'être pris en considération d'égal à égal" (lettre d'accompagnement du recours). Une partie qui n'a pas de ressources suffisantes pour payer des avances de frais peut en effet requérir l'assistance judiciaire ( art. 29 al. 3 Cst. ; art. 132 al. 1 let. b et art. 136 CPP ).</w:t>
      </w:r>
    </w:p>
    <w:p>
      <w:r>
        <w:rPr>
          <w:b/>
        </w:rPr>
        <w:t>E. 6</w:t>
      </w:r>
    </w:p>
    <w:p>
      <w:r>
        <w:t>Les considérants qui précèdent conduisent au rejet du recours, dans la faible mesure de sa recevabilité.</w:t>
      </w:r>
    </w:p>
    <w:p>
      <w:r>
        <w:t>Comme les conclusions du recourant étaient d'emblée vouées à l'échec, l'assistance judiciaire ne peut lui être accordée ( art. 64 al. 1 LTF ). Le recourant, qui succombe, supporte donc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