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6B_170/2020 vom 15. Dezember 2020</w:t>
      </w:r>
    </w:p>
    <w:p>
      <w:r>
        <w:t>Bundesgericht, 2020-12-15, FR</w:t>
      </w:r>
    </w:p>
    <w:p>
      <w:r>
        <w:rPr>
          <w:b/>
        </w:rPr>
        <w:t xml:space="preserve">Quelle: </w:t>
      </w:r>
      <w:r>
        <w:t>https://mcp.opencaselaw.ch/entscheid/bger_6B_170_2020</w:t>
      </w:r>
    </w:p>
    <w:p>
      <w:r>
        <w:t>FR: TF 6B_170/2020 du 15 décembre 2020</w:t>
      </w:r>
    </w:p>
    <w:p>
      <w:r>
        <w:t>IT: TF 6B_170/2020 del 15 dicembre 2020</w:t>
      </w:r>
    </w:p>
    <w:p>
      <w:pPr>
        <w:pStyle w:val="Heading2"/>
      </w:pPr>
      <w:r>
        <w:t>Erwägungen</w:t>
      </w:r>
    </w:p>
    <w:p>
      <w:r>
        <w:rPr>
          <w:b/>
        </w:rPr>
        <w:t>E. 1</w:t>
      </w:r>
    </w:p>
    <w:p>
      <w:r>
        <w:t>Le recourant se plaint d'une violation du principe de la célérité. Il soutient que la violation de ce principe n'a pas été réellement prise en compte dans le cadre de la fixation de la peine ni par le tribunal de première instance, ni par la cour cantonale. Il fait également grief à la cour cantonale d'avoir violé le principe de l'autorité de l'arrêt de renvoi en persistant à affirmer que la violation du principe de célérité avait été prise en compte dans la fixation de la peine " sans toutefois expliquer quelle était la peine infligée spécialement et quelle était alors la réduction précisément opérée " (mémoire de recours, p. 7).</w:t>
      </w:r>
    </w:p>
    <w:p>
      <w:r>
        <w:rPr>
          <w:b/>
        </w:rPr>
        <w:t>E. 1.1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arrêt 6B_1086/2019 du 6 mai 2020 consid. 7.3.1).</w:t>
      </w:r>
    </w:p>
    <w:p>
      <w:r>
        <w:t>L'autorité judiciaire doit mentionner expressément la violation du principe de célérité dans le dispositif du jugement et, le cas échéant, indiquer comment et dans quelle mesure elle a tenu compte de cette violation (arrêts 6B_1385/2019 du 27 février 2020 consid. 5.1; 6B_790/2017 du 18 décembre 2017 consid. 2.3.2 et les références citées, en particulier ATF 136 I 274 consid. 2.3 p. 278).</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117 IV 124 consid. 4e p. 129 s.; arrêts 6B_1463/2019 du 20 février 2020 consid. 2.1; 6B_790/2017 du 18 décembre 2017 consid. 2.3.2).</w:t>
      </w:r>
    </w:p>
    <w:p>
      <w:r>
        <w:rPr>
          <w:b/>
        </w:rPr>
        <w:t>E. 1.2</w:t>
      </w:r>
    </w:p>
    <w:p>
      <w:r>
        <w:t>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 ATF 135 III 334 consid. 2 p. 335).</w:t>
      </w:r>
    </w:p>
    <w:p>
      <w:r>
        <w:rPr>
          <w:b/>
        </w:rPr>
        <w:t>E. 1.3</w:t>
      </w:r>
    </w:p>
    <w:p>
      <w:r>
        <w:t>Dans l'arrêt 6B_417/2019 du 13 septembre 2019 (consid. 4.2), le Tribunal fédéral a indiqué que tant dans le jugement de première instance - auquel se référait la cour cantonale - que dans le jugement attaqué, le juge n'avait pas indiqué, comme l'exige la jurisprudence, comment et dans quelle mesure il avait tenu compte de la violation du principe de célérité.</w:t>
      </w:r>
    </w:p>
    <w:p>
      <w:r>
        <w:rPr>
          <w:b/>
        </w:rPr>
        <w:t>E. 1.4</w:t>
      </w:r>
    </w:p>
    <w:p>
      <w:r>
        <w:t>En l'espèce, il n'est pas contesté que le fait qu'il n'y avait eu aucune opération entre le 23 décembre 2013 et le 10 juillet 2017 violait le principe de célérité (cf. arrêt 6B_417/2019 précité consid. 4.2).</w:t>
      </w:r>
    </w:p>
    <w:p>
      <w:r>
        <w:t>Il ressort du jugement de première instance que, dans le cadre de la fixation de la peine, les juges ont relevé que " la durée de la procédure sera[it] également prise en considération à décharge " (consid. 9), sans toutefois expressément retenir une violation du principe de célérité, ni indiquer dans quelle mesure une telle violation était prise en compte dans la fixation dans la peine. En définitive, ils ont condamné le recourant à une peine privative de liberté de 12 mois avec sursis durant trois ans.</w:t>
      </w:r>
    </w:p>
    <w:p>
      <w:r>
        <w:t>Dans le jugement attaqué, la cour cantonale a confirmé la peine de 12 mois avec sursis prononcée en première instance. Elle a précisé que, compte tenu notamment du concours entre deux infractions graves, c'était une peine privative de liberté de deux ans qui devait être fixée. Elle a expliqué que la peine était réduite à un an pour tenir compte de la violation du principe de célérité dans la fixation de la peine, ce qui correspondait à une réduction de l'ordre de 50 % (cf. jugement de la Cour d'appel pénale du 12 novembre 2019, consid. 2.3).</w:t>
      </w:r>
    </w:p>
    <w:p>
      <w:r>
        <w:t>Dans ces conditions, le recourant ne saurait être suivi lorsqu'il soutient que la violation du principe de célérité n'a pas été réellement prise en compte par la cour cantonale dans le cadre de la fixation de la peine, étant pour le surplus rappelé que le jugement de première instance n'est pas l'objet du recours en matière pénale ( art. 80 al. 1 LTF ). Par ailleurs, on ne saurait non plus reprocher à la cour cantonale d'avoir violé le principe de l'autorité de l'arrêt de renvoi, dès lors qu'elle a expliqué dans quelle mesure elle avait tenu compte de la violation du principe de célérité dans la fixation de la peine.</w:t>
      </w:r>
    </w:p>
    <w:p>
      <w:r>
        <w:rPr>
          <w:b/>
        </w:rPr>
        <w:t>E. 1.5</w:t>
      </w:r>
    </w:p>
    <w:p>
      <w:r>
        <w:t>Au demeurant, c'est en vain que le recourant reproche à la cour cantonale d'avoir estimé que le fait que certaines infractions auraient été atteintes par la prescription " suffirait - ou du moins participerait - à la réparation du principe de célérité ". En effet, si la cour cantonale a constaté que la violation du principe de célérité, donc l'écoulement du temps, avait eu pour effet la prescription de certains délits, qui n'ont dès lors pas été retenus à la charge du recourant, elle n'a pas dit que la prescription atteinte " réparait " la violation du principe de célérité, ni qu'elle avait un effet sur la peine (cf. arrêt 6B_189/2017 du 7 décembre 2017 consid. 5.3.3). Le grief du recourant est rejeté dans la mesure où il est recevable.</w:t>
      </w:r>
    </w:p>
    <w:p>
      <w:r>
        <w:rPr>
          <w:b/>
        </w:rPr>
        <w:t>E. 1.6</w:t>
      </w:r>
    </w:p>
    <w:p>
      <w:r>
        <w:t>Dès lors qu'elle a indiqué dans quelle mesure elle avait tenu compte de la violation du principe de célérité, la cour cantonale n'a pas violé le droit fédéral en confirmant la peine privative de liberté de 12 mois avec sursis.</w:t>
      </w:r>
    </w:p>
    <w:p>
      <w:r>
        <w:rPr>
          <w:b/>
        </w:rPr>
        <w:t>E. 2</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