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170/2016 vom 5. August 2016</w:t>
      </w:r>
    </w:p>
    <w:p>
      <w:r>
        <w:t>Bundesgericht, 2016-08-05, DE</w:t>
      </w:r>
    </w:p>
    <w:p>
      <w:r>
        <w:rPr>
          <w:b/>
        </w:rPr>
        <w:t xml:space="preserve">Quelle: </w:t>
      </w:r>
      <w:r>
        <w:t>https://mcp.opencaselaw.ch/entscheid/bger_6B_170_2016</w:t>
      </w:r>
    </w:p>
    <w:p>
      <w:r>
        <w:t>FR: TF 6B 170/2016 du 5 août 2016</w:t>
      </w:r>
    </w:p>
    <w:p>
      <w:r>
        <w:t>IT: TF 6B 170/2016 del 5 agosto 2016</w:t>
      </w:r>
    </w:p>
    <w:p>
      <w:pPr>
        <w:pStyle w:val="Heading2"/>
      </w:pPr>
      <w:r>
        <w:t>Regeste</w:t>
      </w:r>
    </w:p>
    <w:p>
      <w:r>
        <w:t>Fahrlässige Verletzung von Verfahrenspflichten nach dem Bundesgesetz über die Mehrwertsteuer (Freispruch); Verfahrenskosten | Straftaten</w:t>
      </w:r>
    </w:p>
    <w:p>
      <w:pPr>
        <w:pStyle w:val="Heading2"/>
      </w:pPr>
      <w:r>
        <w:t>Erwägungen</w:t>
      </w:r>
    </w:p>
    <w:p>
      <w:r>
        <w:rPr>
          <w:b/>
        </w:rPr>
        <w:t>E. 1</w:t>
      </w:r>
    </w:p>
    <w:p>
      <w:r>
        <w:t>Der Beschwerdeführer macht geltend, aufgrund des Freispruchs dürften ihm keine Kosten auferlegt werden.</w:t>
      </w:r>
    </w:p>
    <w:p>
      <w:r>
        <w:rPr>
          <w:b/>
        </w:rPr>
        <w:t>E. 1.1</w:t>
      </w:r>
    </w:p>
    <w:p>
      <w:r>
        <w:t>Die Kosten des gerichtlichen Verfahrens und deren Verlegung bestimmen sich, vorbehältlich Art. 78 Abs. 4 VStrR , nach den Art. 417 bis Art. 428 StPO ( Art. 97 Abs. 1 VStrR ). Im Urteil können die Kosten des Verfahrens der Verwaltung gleich wie die Kosten des gerichtlichen Verfahrens verlegt werden ( Art. 97 Abs. 2 VStrR ). Nach Art. 426 Abs. 2 StPO können der beschuldigten Person die Verfahrenskosten ganz oder teilweise auferlegt werden, wenn sie rechtswidrig oder schuldhaft die Einleitung des Verfahrens bewirkt oder dessen Durchführung erschwert hat. 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120 Ia 147 E. 3b; 119 Ia 332 E. 1b; 112 Ia 371 E. 2a; Urteil 6B_67/2014 vom 2. September 2014 E. 2.3; je mit Hinweisen). Das Gericht muss die Kostenauflage bei Freispruch oder Einstellung begründen. Es muss darlegen, inwiefern die beschuldigte Person durch ihr Handeln in zivilrechtlich vorwerfbarer Weise gegen eine Verhaltensnorm klar verstossen hat (Urteile 6B_662/2013 vom 19. Juni 2014 E. 1.3; 1P.164/2002 vom 25. Juni 2002 E. 1.2.2, in: Pra 2002 Nr. 203 S. 1067).</w:t>
      </w:r>
    </w:p>
    <w:p>
      <w:r>
        <w:rPr>
          <w:b/>
        </w:rPr>
        <w:t>E. 1.2</w:t>
      </w:r>
    </w:p>
    <w:p>
      <w:r>
        <w:t>Die Vorinstanz erwägt, mit der Nichtabmeldung von der Steuerpflicht gemäss Art. 14 Abs. 5 MWSTG und der mangelhaften Auskunftserteilung gemäss Art. 68 Abs. 1 MWSTG habe der Beschwerdeführer gegen Verfahrensnormen des MWSTG verstossen und damit das Bussenverfahren durch schuldhaftes Verhalten in analoger Anwendung von Art. 41 OR verursacht. Soweit er geltend mache, er habe am 5. März 2014 gegen die Betreibung der MWST-Forderung für das Jahr 2009 und am 28. März 2014 gegen jene für das 1. Quartal 2010 Einsprache erhoben und sich damit von der Steuerpflicht gemäss Art. 14 Abs. 5 MWSTG abgemeldet, könne ihm nicht gefolgt werden. Der Beschwerdeführer verkenne, dass mit dem Rechtsvorschlag in keiner Weise zum Ausdruck gebracht werde, was angefochten sei. Der Rechtsvorschlag müsse nicht begründet werden und könne sich auch bloss gegen die Höhe der in Betreibung gesetzten Forderung richten. Die ESTV habe bis zum Erlass des Strafbescheids vom 29. April 2014 keine Kenntnis davon gehabt, dass der Beschwerdeführer seine Steuerpflichtigkeit für das Jahr 2010 erneut bestreiten werde. In Bezug auf die Auskunfts- und Dokumentationspflicht des Beschwerdeführers reiche es zudem nicht aus, auf Belege zu verweisen, die in verschiedenen anderen Verfahren eingereicht worden seien. Der Beschwerdeführer habe rechtswidrig und schuldhaft die Einleitung des Strafverfahrens gegen ihn veranlasst, weshalb er die Kosten des Verwaltungsverfahrens und die Gebühr für das strafgerichtliche Verfahren zu tragen habe.</w:t>
      </w:r>
    </w:p>
    <w:p>
      <w:r>
        <w:rPr>
          <w:b/>
        </w:rPr>
        <w:t>E. 1.3</w:t>
      </w:r>
    </w:p>
    <w:p>
      <w:r>
        <w:t>Die Auskunftspflicht nach Art. 68 Abs. 1 MWSTG setzt eine Anfrage der ESTV voraus (BEATRICE BLUM, in: Felix Geiger/Regine Schluckebier [Hrsg.], Kommentar MWSTG, 2012, N. 8 zu Art. 68 MWSTG ). Inwiefern eine solche Anfrage erfolgte, legt die Vorinstanz nicht dar. Als solche könnte allenfalls die Mahnung vom 18. Februar 2014 oder das Schlussprotokoll vom 1. April 2014 verstanden werden, womit der Beschwerdeführer aufgefordert wurde, die Mehrwertsteuerabrechnung einzureichen. Im Grunde würde ihm damit allerdings wiederum das Nichteinreichen der Mehrwertsteuerabrechnung zum Vorwurf gemacht. Dies, obwohl die Vorinstanz die Unterlassung als nicht strafbar beurteilte. Darüber hinaus kann auch eine Pflichtverletzung nach Art. 68 Abs. 1 MWSTG strafrechtlich geahndet werden (BEATRICE BLUM, a.a.O., N. 12 zu Art. 68 MWSTG ). Indem sich die Vorinstanz für die Kostenauflage auf eine Verletzung der Auskunftspflicht nach Art. 68 Abs. 1 MWSTG stützt, wirft sie dem Beschwerdeführer indirekt trotz Freispruchs ein strafrechtlich relevantes Verhalten vor. Dies ist bundesrechtswidrig. Weiter begründet die Vorinstanz die Auferlegung der Kosten mit einer Verletzung von Art. 14 Abs. 5 MWSTG . Gemäss dieser Bestimmung muss sich die steuerpflichtige Person, die die gesetzliche Umsatzgrenze unterschreitet, abmelden. Eine entsprechende Abmeldung nahm der Beschwerdeführer nicht vor. Auf die Mahnung vom 18. Februar 2014 sowie das Schlussprotokoll vom 1. April 2014 reagierte er nicht. Es ist daher zutreffend, dass die ESTV, wie von der Vorinstanz ausgeführt, bei Erlass des Strafbescheids am 29. April 2014 keine Kenntnis davon hatte, dass der Beschwerdeführer die Mehrwertsteuerpflicht bestreitet. Insofern nahm dieser die Einleitung des Strafverfahrens in Kauf. Allerdings erwog die ESTV in ihrer Verfügung vom 10. November 2014, mit Eingaben vom 9. Mai 2014 und vom 22. September 2014 habe der Beschwerdeführer die Mehrwertsteuerpflicht als solche bestritten. Gegenstand des Einspracheverfahrens bilde somit die subjektive Steuerpflicht des Beschwerdeführers für die Steuerperiode 2010 (1. Januar 2010 bis 31. Dezember 2010). Unter diesen Umständen kann sich die Behörde spätestens ab dem 9. Mai 2014 nicht mehr darauf berufen, keine Kenntnis von der Bestreitung der Mehrwertsteuerpflicht gehabt zu haben. Indem die Vorinstanz dem Beschwerdeführer die Kosten des erstinstanzlichen Gerichtsverfahrens sowie die vollständigen Kosten des Verfahrens der Verwaltung auferlegt, verstösst sie gegen Art. 426 Abs. 2 StPO .</w:t>
      </w:r>
    </w:p>
    <w:p>
      <w:r>
        <w:rPr>
          <w:b/>
        </w:rPr>
        <w:t>E. 2</w:t>
      </w:r>
    </w:p>
    <w:p>
      <w:r>
        <w:t>Die Beschwerde ist gutzuheissen und die Sache zu neuer Entscheidung an die Vorinstanz zurückzuweisen. Für das bundesgerichtliche Verfahren sind keine Kosten zu erheben ( Art. 66 Abs. 1 und 4 BGG ). Dem nicht anwaltlich vertretenen Beschwerdeführer ist keine Parteientschädigung zuzusprechen ( Art. 68 BGG ; BGE 133 III 439 E. 4).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