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6B_16/2012 vom 15. Juli 2013</w:t>
      </w:r>
    </w:p>
    <w:p>
      <w:r>
        <w:t>Bundesgericht, 2013-07-15, DE</w:t>
      </w:r>
    </w:p>
    <w:p>
      <w:r>
        <w:rPr>
          <w:b/>
        </w:rPr>
        <w:t xml:space="preserve">Quelle: </w:t>
      </w:r>
      <w:r>
        <w:t>https://mcp.opencaselaw.ch/entscheid/bger_6B_16_2012</w:t>
      </w:r>
    </w:p>
    <w:p>
      <w:r>
        <w:t>FR: TF 6B_16/2012 du 15 juillet 2013</w:t>
      </w:r>
    </w:p>
    <w:p>
      <w:r>
        <w:t>IT: TF 6B_16/2012 del 15 luglio 2013</w:t>
      </w:r>
    </w:p>
    <w:p>
      <w:pPr>
        <w:pStyle w:val="Heading2"/>
      </w:pPr>
      <w:r>
        <w:t>Erwägungen</w:t>
      </w:r>
    </w:p>
    <w:p>
      <w:r>
        <w:rPr>
          <w:b/>
        </w:rPr>
        <w:t>E. 1</w:t>
      </w:r>
    </w:p>
    <w:p>
      <w:r>
        <w:t>Der Tod der beschuldigten Person während des kantonalen Verfahrens führt zur Verfahrenseinstellung ( Art. 319 Abs. 1 lit. d, Art. 403 Abs. 1 lit. c StPO ). Anders verhält es sich nach der Rechtsprechung, wenn eine verurteilte Person verstirbt, nachdem die Beschwerde in Strafsachen beim Bundesgericht anhängig gemacht wurde (Urteil 6B_459/2008 vom 20. Mai 2009 E. 2). Die Angehörigen sind im Strafpunkt zur Fortsetzung des Beschwerdeverfahrens jedoch nicht legitimiert (Urteil 6B_459/2008 vom 20. Mai 2009 E. 3). Dies wurde auch nicht beantragt. Soweit sich die Beschwerde gegen den Strafpunkt richtet, ist sie als gegenstandslos geworden vom Geschäftsverzeichnis abzuschreiben.</w:t>
      </w:r>
    </w:p>
    <w:p>
      <w:r>
        <w:rPr>
          <w:b/>
        </w:rPr>
        <w:t>E. 2</w:t>
      </w:r>
    </w:p>
    <w:p>
      <w:r>
        <w:t>Im Zivilpunkt haben die Erben der verstorbenen Person grundsätzlich ein rechtlich geschütztes Interesse an der Weiterführung des Verfahrens (Urteil 6B_459/2008 vom 20. Mai 2009 E. 4). Über den Nachlass von X.________ wurde die konkursamtliche Liquidation angeordnet, womit die Konkursverwaltung in die Rechte der Erben eintrat. Da weder die Konkursmasse noch einzelne Gläubiger das Verfahren im Zivilpunkt fortgeführt haben, hat die Forderung der Erben von Y.________ über Fr. 646'000.-- zzgl. Zins als anerkannt zu gelten (Art. 63 Abs. 2 der Verordnung vom 13. Juli 1911 über die Geschäftsführung der Konkursämter, KOV; SR 281.32). Damit kann das Verfahren auch im Zivilpunkt abgeschrieben werden.</w:t>
      </w:r>
    </w:p>
    <w:p>
      <w:r>
        <w:rPr>
          <w:b/>
        </w:rPr>
        <w:t>E. 3</w:t>
      </w:r>
    </w:p>
    <w:p>
      <w:r>
        <w:t>Bei diesem Ausgang des Verfahrens sind keine Gerichtskosten zu erheben.</w:t>
      </w:r>
    </w:p>
    <w:p>
      <w:r>
        <w:rPr>
          <w:b/>
        </w:rPr>
        <w:t>E. 4</w:t>
      </w:r>
    </w:p>
    <w:p>
      <w:r>
        <w:t>Die Beschwerdegegnerin 2 wurde lediglich im Zusammenhang mit dem Gesuch um aufschiebende Wirkung zur Stellungnahme eingeladen, wobei sie die Abweisung des Gesuchs beantragte (act. 7/2 und 12). Da das Gesuch gutgeheissen wurde, hat sie insoweit als unterliegende Partei zu gelten. Weitere Kosten sind ihr im bundesgerichtlichen Verfahren nicht erwachsen, weshalb sie keinen Anspruch auf Entschädigung hat.</w:t>
      </w:r>
    </w:p>
    <w:p>
      <w:r>
        <w:rPr>
          <w:b/>
        </w:rPr>
        <w:t>E. 5</w:t>
      </w:r>
    </w:p>
    <w:p>
      <w:r>
        <w:t>Die Beschwerdegegnerin 1 müsste für die Entschädigung von Rechtsanwalt Daniel U. Walder aufkommen, wenn sie bei summarischer Prüfung der Beschwerde mit überwiegender Wahrscheinlichkeit als unterliegende Partei zu betrachten wäre (vgl. Art. 71 BGG i.V.m. Art. 72 BZP [SR 273]; BGE 125 V 373 E. 2a; 118 Ia 488 E. 4a). Davon kann indes nicht ausgegangen werden.</w:t>
      </w:r>
    </w:p>
    <w:p>
      <w:r>
        <w:rPr>
          <w:b/>
        </w:rPr>
        <w:t>E. 6</w:t>
      </w:r>
    </w:p>
    <w:p>
      <w:r>
        <w:t>X.________ stellte ein Gesuch um unentgeltliche Rechtspflege. Der unentgeltliche Rechtsbeistand hat gemäss Art. 64 Abs. 2 Satz 2 BGG Anspruch auf eine angemessene Entschädigung. Die von X.________ für die Redaktion der Beschwerde an das Bundesgericht seinerzeit geleistete Zahlung von Fr. 5'000.-- übersteigt die Entschädigung von Fr. 3'000.--, welche im bundesgerichtlichen Verfahren für eine Beschwerde in Strafsachen im Rahmen der unentgeltlichen Rechtspflege üblicherweise zugesprochen wird. Damit hat Rechtsanwalt Daniel U. Walder keine weiteren Entschädigungsansprüche mehr. Eine Prüfung, ob das Gesuch um unentgeltliche Rechtspflege auch zufolge Aussichtslosigkeit der Beschwerde abzuweisen gewesen wäre, erübrigt sich.</w:t>
      </w:r>
    </w:p>
    <w:p>
      <w:r>
        <w:rPr>
          <w:b/>
        </w:rPr>
        <w:t>E. 7</w:t>
      </w:r>
    </w:p>
    <w:p>
      <w:r>
        <w:t>Gemäss Art. 32 Abs. 2 BGG entscheidet der Instruktionsrichter als Einzelrichter über die Abschreibung von Verfahren zufolge Gegenstandslosigkeit. Über die unentgeltliche Rechtspflege befindet das Gericht jedoch in der Besetzung mit drei Richtern, wenn das Gesuch abgewiesen wird. Vorbehalten bleiben Fälle, die im vereinfachten Verfahren nach Art. 108 BGG behandelt werden ( Art. 64 Abs. 3 BGG ). Vorliegend geht es nicht um ein Verfahren nach Art. 108 BGG . Nach der Rechtsprechung hat der Entscheid daher in der Besetzung mit drei Richtern zu ergehen (Verfügung 1C_215/2009 vom 13. Januar 2010 E. 10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