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6B_16/2009 vom 14. April 2009</w:t>
      </w:r>
    </w:p>
    <w:p>
      <w:r>
        <w:t>Bundesgericht, 2009-04-14, FR</w:t>
      </w:r>
    </w:p>
    <w:p>
      <w:r>
        <w:rPr>
          <w:b/>
        </w:rPr>
        <w:t xml:space="preserve">Quelle: </w:t>
      </w:r>
      <w:r>
        <w:t>https://mcp.opencaselaw.ch/entscheid/bger_6B_16_2009</w:t>
      </w:r>
    </w:p>
    <w:p>
      <w:r>
        <w:t>FR: TF 6B_16/2009 du 14 avril 2009</w:t>
      </w:r>
    </w:p>
    <w:p>
      <w:r>
        <w:t>IT: TF 6B_16/2009 del 14 aprile 2009</w:t>
      </w:r>
    </w:p>
    <w:p>
      <w:pPr>
        <w:pStyle w:val="Heading2"/>
      </w:pPr>
      <w:r>
        <w:t>Erwägungen</w:t>
      </w:r>
    </w:p>
    <w:p>
      <w:r>
        <w:rPr>
          <w:b/>
        </w:rPr>
        <w:t>E. 1</w:t>
      </w:r>
    </w:p>
    <w:p>
      <w:r>
        <w:t>Le recourant reproche à l'autorité cantonale d'avoir apprécié de manière arbitraire les preuves dont elle disposait et estime que sa version des faits aurait dû être retenue en vertu du principe "in dubio pro reo".</w:t>
      </w:r>
    </w:p>
    <w:p>
      <w:r>
        <w:t>Il soutient que, contrairement à ce qui ressort de l'arrêt attaqué, les déclarations dans lesquelles E.________ a mentionné, lors de l'audience du 11 avril 2005, un partage de la commission de 3% avec le recourant ne sont pas les premières celui-là ait faites. Entendu le 8 décembre 2004, il n'avait pas dit un mot d'un partage de la commission prévue. Le recourant allègue en outre que les contacts qu'il a pu avoir avec E.________ s'expliquent par le fait qu'ils étaient en relation d'affaires et n'impliquaient pas qu'ils aient collaboré dans le contexte des transactions à l'origine de la présente procédure. Il se plaint enfin, à titre subsidiaire, d'une motivation insuffisante de l'arrêt attaqué.</w:t>
      </w:r>
    </w:p>
    <w:p>
      <w:r>
        <w:t>L'appréciation des preuves est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en va de même lorsqu'il retient unilatéralement certaines preuves ou lorsqu'il rejette des conclusions pour défaut de preuves, alors que l'existence du fait à prouver résulte des allégations et du comportement des parties ( ATF 118 Ia 28 consid. 1b p. 30).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w:t>
      </w:r>
    </w:p>
    <w:p>
      <w:r>
        <w:t>Lors de ses premières déclarations, faites le 8 décembre 2004 devant la police et invoquées par le recourant, E.________ a affirmé que c'était par le recourant qu'il avait fait la connaissance de F.________. Il a également admis avoir mis F.________ en relation avec le dénommé D.________, service pour lequel il devait percevoir une commission de 3% sur le chèque qui devait être encaissé en Tchéquie.</w:t>
      </w:r>
    </w:p>
    <w:p>
      <w:r>
        <w:t>Ultérieurement, E.________ a précisé, le 11 avril 2005, que la commission qu'il devait percevoir était à partager avec le recourant, celui-ci étant ainsi rétribué pour avoir présenté E.________ à F.________. Ces déclarations correspondent à celles de F.________.</w:t>
      </w:r>
    </w:p>
    <w:p>
      <w:r>
        <w:t>Enfin, le 19 mai 2005, E.________ a encore indiqué qu'il avait convenu oralement avec le recourant d'un partage de la commission, qui devait être de 2 à 3% de la valeur du chèque.</w:t>
      </w:r>
    </w:p>
    <w:p>
      <w:r>
        <w:t>L'ensemble de ces déclarations est parfaitement cohérent. Peu importe que lors de sa première déposition E.________ n'ait pas fait allusion à un partage de la commission avec le recourant. Il n'en a pas moins d'ores et déjà mentionné à cette occasion que le recourant avait joué un rôle important en mettant en relation certains des protagonistes de cette transaction. Les affirmations ultérieures de E.________ ne contredisent nullement cette première version des faits, mais y apportent simplement quelques compléments et précisions. Seules vont à son encontre les rétractations d'E.________ devant le Tribunal de police le 10 juin 2008. Il a lors nié toute implication dans cette affaire, prétendant n'avoir aucun souvenir d'une commission, mais admettant toutefois qu'une rencontre avait bien eu lieu en sa présence à son agence entre D.________ et F.________, qui avaient fait connaissance à cette occasion, et affirmant qu'il ne savait pas de quoi ceux-ci avaient parlé car il avait "continué à travailler à côté, entre deux". Ces affirmations, tardives, n'apparaissent guère convaincantes, de sorte que les autorités cantonales pouvaient, sans arbitraire, accorder plus de crédit à ses déclarations antérieures, cohérentes et confirmées de surcroît par celles de F.________, dont on perçoit mal quel intérêt il aurait eu à impliquer le recourant dans cette transaction.</w:t>
      </w:r>
    </w:p>
    <w:p>
      <w:r>
        <w:t>Mal fondé, ce grief doit être rejeté.</w:t>
      </w:r>
    </w:p>
    <w:p>
      <w:r>
        <w:rPr>
          <w:b/>
        </w:rPr>
        <w:t>E. 2</w:t>
      </w:r>
    </w:p>
    <w:p>
      <w:r>
        <w:t>Le recourant soutient en outre que, fixée à quatre ans, la durée du délai d'épreuve assortissant le sursis qui lui a été accordé est injustifiée et arbitraire. Il relève à ce propos qu'il n'avait aucun antécédent, que depuis les faits qui remontent à 2002 il n'a plus connu la moindre condamnation pénale et reproche enfin à l'autorité cantonale de n'avoir pas exposé les motifs pour lesquels elle excédait la durée minimale du délai d'épreuve.</w:t>
      </w:r>
    </w:p>
    <w:p>
      <w:r>
        <w:t>Aux termes de l' art. 44 al. 1 CP ,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 ATF 95 IV 121 consid. 1). La durée doit être déterminée de manière à offrir la plus grande probabilité que le condamné ne récidivera pas (ROLAND M. SCHNEIDER/ROY GARRÉ, in Basler Kommentar, 2e éd. 2007, n° 4 ad art. 44 CP p. 790 et les références citées). Dans ce contexte également, les autorités cantonales disposent d'un large pouvoir d'appréciation et, dans la mesure où elles respectent le cadre légal, le Tribunal fédéral ne considère que le droit fédéral a été violé que lorsque le juge a abusé de ce pouvoir d'appréciation ( ATF 95 IV 121 consid. 1).</w:t>
      </w:r>
    </w:p>
    <w:p>
      <w:r>
        <w:t>En l'espèce, l'autorité cantonale a imposé au recourant un délai d'épreuve passablement long, ce qui implique qu'elle a admis qu'il présentait un risque de récidive assez important, sans toutefois donner la moindre explication sur les raisons qui l'ont amenée à considérer que tel était le cas s'agissant d'un délinquant primaire qui répond de faits relativement anciens et semble depuis lors avoir cessé toute activité délictueuse. Faute de motivation sur ce point, l'autorité de céans n'est pas en mesure de s'assurer que la cour cantonale n'a pas abusé de son pouvoir d'appréciation, de sorte que le recours doit être partiellement admis, l'arrêt attaqué annulé et la cause renvoyée à l'autorité cantonale pour qu'elle statue à nouveau.</w:t>
      </w:r>
    </w:p>
    <w:p>
      <w:r>
        <w:rPr>
          <w:b/>
        </w:rPr>
        <w:t>E. 3</w:t>
      </w:r>
    </w:p>
    <w:p>
      <w:r>
        <w:t>Le recourant, qui n'obtient que partiellement gain de cause, devra supporter une partie des frais ( art. 66 al. 1 LTF ) et le canton de Genève lui versera une indemnité de dépens réduite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