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169/2020 vom 18. Mai 2020</w:t>
      </w:r>
    </w:p>
    <w:p>
      <w:r>
        <w:t>Bundesgericht, 2020-05-18, FR</w:t>
      </w:r>
    </w:p>
    <w:p>
      <w:r>
        <w:rPr>
          <w:b/>
        </w:rPr>
        <w:t xml:space="preserve">Quelle: </w:t>
      </w:r>
      <w:r>
        <w:t>https://mcp.opencaselaw.ch/entscheid/bger_6B_169_2020</w:t>
      </w:r>
    </w:p>
    <w:p>
      <w:r>
        <w:t>FR: TF 6B 169/2020 du 18 mai 2020</w:t>
      </w:r>
    </w:p>
    <w:p>
      <w:r>
        <w:t>IT: TF 6B 169/2020 del 18 maggio 2020</w:t>
      </w:r>
    </w:p>
    <w:p>
      <w:pPr>
        <w:pStyle w:val="Heading2"/>
      </w:pPr>
      <w:r>
        <w:t>Regeste</w:t>
      </w:r>
    </w:p>
    <w:p>
      <w:r>
        <w:t>Conditions de détention | Procédure pénale</w:t>
      </w:r>
    </w:p>
    <w:p>
      <w:pPr>
        <w:pStyle w:val="Heading2"/>
      </w:pPr>
      <w:r>
        <w:t>Erwägungen</w:t>
      </w:r>
    </w:p>
    <w:p>
      <w:r>
        <w:rPr>
          <w:b/>
        </w:rPr>
        <w:t>E. 1</w:t>
      </w:r>
    </w:p>
    <w:p>
      <w:r>
        <w:t>Le Tribunal fédéral examine d'office sa compétence ( art. 29 al. 1 LTF ) et contrôle librement la recevabilité des recours qui lui sont soumis ( ATF 143 IV 357 consid. 1 p. 358). Selon l'art. 33 let. a du Règlement du 20 novembre 2006 du Tribunal fédéral (RTF; RS 173.110.131), la Cour de droit pénal traite les recours en matière pénale ainsi que les recours en matière de droit public et les recours constitutionnels subsidiaires en matière pénale dans les domaines relevant du droit pénal matériel (y compris l'exécution des peines et des mesures). Le litige porte sur l'éventuelle responsabilité du canton de Genève à l'égard du recourant résultant de ses conditions de détention avant et après jugement. L'arrêt attaqué peut en principe faire l'objet d'un recours en matière de droit public au Tribunal fédéral ( art. 82 let. a LTF ; cf. arrêts 6B_1085/2016 du 28 août 2017 consid. 1; 6B_703/2016 du 2 juin 2017 consid. 1). Dans la mesure où le recourant fait valoir une violation des art. 10 al. 3 Cst. et 3 et 13 CEDH, il invoque des droits de nature constitutionnelle (cf. ATF 137 I 77 consid. 1.3.1 p. 79 s.; arrêt 6B_1244/2016 du 31 octobre 2017 consid. 1.3 et la référence citée). En cela, contrairement à ce que soulève le département, le recours constitutionnel subsidiaire est ouvert (cf. art. 116 LTF ), indépendamment de la question de la valeur litigieuse (cf. art. 85 al. 1 let. a LTF ).</w:t>
      </w:r>
    </w:p>
    <w:p>
      <w:r>
        <w:rPr>
          <w:b/>
        </w:rPr>
        <w:t>E. 2</w:t>
      </w:r>
    </w:p>
    <w:p>
      <w:r>
        <w:t>). Il y a donc lieu de constater que les conditions de détention du recourant n'ont pas été conformes aux standards minimaux pendant 234 jours entre le 23 juin 2014 et le 15 février 2015.</w:t>
      </w:r>
    </w:p>
    <w:p>
      <w:r>
        <w:rPr>
          <w:b/>
        </w:rPr>
        <w:t>E. 2.1</w:t>
      </w:r>
    </w:p>
    <w:p>
      <w:r>
        <w:t>Au niveau conventionnel, l' art. 3 CEDH prévoit que nul ne peut être soumis à la torture ni à des peines ou traitements inhumains ou dégradants. Sur le plan constitutionnel, l' art. 7 Cst. prescrit de son côté que la dignité humaine doit être respectée et protégée. A teneur de l' art. 10 al. 3 Cst. , la torture et tout autre traitement ou peine cruels, inhumains ou dégradants sont interdits. Un traitement dénoncé comme contraire à l' art. 3 CEDH doit atteindre un niveau d'humiliation ou d'avilissement supérieur à ce qu'emporte habituellement la privation de liberté. La gravité de cette atteinte est appréciée au regard de l'ensemble des données de la cause, considérées globalement, notamment de la nature et du contexte du traitement ainsi que de sa durée ( ATF 141 I 141 consid. 6.3.4 p. 146 s.; 139 I 272 consid. 4 p. 278 et les arrêts cités; arrêt 6B_103/2020 du 10 mars 2020 consid. 2.1.2; cf. également arrêt 1B_115/2019 du 18 décembre 2019 consid. 2.3 destiné à la publication).</w:t>
      </w:r>
    </w:p>
    <w:p>
      <w:r>
        <w:rPr>
          <w:b/>
        </w:rPr>
        <w:t>E. 2.1.1</w:t>
      </w:r>
    </w:p>
    <w:p>
      <w:r>
        <w:t>Pour le domaine spécifique de la détention, la Suisse a ratifié, le 7 octobre 1988, la Convention européenne de 1987 pour la prévention de la torture et des peines ou traitements inhumains ou dégradants (RS 0.106). L'art. 1 de cette Convention institue un " Comité européen pour la prévention de la torture et des peines ou traitements inhumains ou dégradants " (ci-après: CPT). Le 15 décembre 2015, le CPT a édité une norme sur l'espace vital par détenu dans les établissements pénitentiaires. Il en ressort que la norme minimale concernant l'espace vital devrait exclure les sanitaires qui se trouvent à l'intérieur d'une cellule. Ainsi, une cellule individuelle devrait mesurer 6 m² auxquels on ajouterait la superficie nécessaire à une annexe sanitaire (généralement de 1 à 2 m²). De même, l'espace occupé par l'annexe sanitaire devrait être exclu du calcul des 4 m² par personne dans les cellules collectives. De plus, l'annexe sanitaire de ces dernières devrait être entièrement cloisonnée. Par ailleurs, le Comité des ministres du Conseil de l'Europe, en application de l'art. 15 (b) du Statut du Conseil de l'Europe (RS 0.192.030), a adopté le 11 janvier 2006 la Recommandation Rec (2006) 2 sur les Règles pénitentiaires européennes (ci-après; RPE), lesquelles s'inscrivent dans les précédentes recommandations établies dès 1989. Ces règles prennent notamment en compte le travail mené par le CPT ainsi que les normes qu'il a développées dans ses rapports généraux, et visent à garantir des conditions de détention qui ne portent pas atteinte à la dignité humaine. Les règles 17 à 22 RPE traitent des locaux de détention, de l'hygiène, de la literie et du régime alimentaire: ainsi, les locaux de détention doivent satisfaire aux exigences de respect de la dignité humaine et, dans la mesure du possible, de la vie privée, et répondre aux conditions minimales requises en matière de santé et d'hygiène, compte tenu des conditions climatiques.</w:t>
      </w:r>
    </w:p>
    <w:p>
      <w:r>
        <w:rPr>
          <w:b/>
        </w:rPr>
        <w:t>E. 2.1.2</w:t>
      </w:r>
    </w:p>
    <w:p>
      <w:r>
        <w:t>Se prononçant sur la situation de la prison genevoise de Champ-Dollon, le Tribunal fédéral a jugé qu'en cas de surpopulation carcérale, l'occupation d'une cellule dite individuelle par trois détenus - chacun disposant d'un espace individuel de 4 m</w:t>
      </w:r>
    </w:p>
    <w:p>
      <w:r>
        <w:rPr>
          <w:b/>
        </w:rPr>
        <w:t>E. 2.1.3</w:t>
      </w:r>
    </w:p>
    <w:p>
      <w:r>
        <w:t>Dans un arrêt de principe Mursic contre Croatie du 20 octobre 2016, la Grande Chambre de la Cour européenne des droits de l'homme s'est cependant écartée de cet ordre de grandeur de 4 m</w:t>
      </w:r>
    </w:p>
    <w:p>
      <w:r>
        <w:rPr>
          <w:b/>
        </w:rPr>
        <w:t>E. 2.2</w:t>
      </w:r>
    </w:p>
    <w:p>
      <w:r>
        <w:t>Dans un premier temps, se concentrant sur la période de détention avant jugement (du 22 juin au 24 novembre 2014), la cour cantonale a retenu que le confinement du recourant et la surface au sol dont il a pu bénéficier ne répondaient pas aux critères d'une détention conforme au droit du 23 juin au 19 septembre 2014, date à laquelle un de ses codétenu a commencé à travailler à l'atelier de reliure (5 heures par jour, les jours ouvrés). La cour cantonale a ainsi retenu que les conditions de détention du recourant avaient été illicites durant 89 jours " de sa détention avant jugement " (arrêt entrepris consid. 6.a). Dans un second temps, examinant la période de détention postérieure au jugement (du 25 novembre 2014 au 22 février 2015), la cour cantonale a considéré que, du fait que l'occupation de la cellule pendant toute la journée n'était pas complète au minimum pendant trois heures durant la période concernée, d'une durée inférieure à trois mois, les conditions de détention devaient être considérées comme difficiles mais pas illicites (arrêt entrepris consid. 6.b).</w:t>
      </w:r>
    </w:p>
    <w:p>
      <w:r>
        <w:rPr>
          <w:b/>
        </w:rPr>
        <w:t>E. 2.3</w:t>
      </w:r>
    </w:p>
    <w:p>
      <w:r>
        <w:t>Le raisonnement de la cour cantonale, en deux étapes, ne résiste pas à l'examen. Ainsi que le relève le recourant, la cour cantonale a opéré une césure artificielle entre la période de détention avant jugement et celle postérieure au jugement, alors même qu'il demeurait dans des conditions de détention identiques (surface au sol, confinement [hormis du 12 au 20 janvier 2015], nombre de codétenus) pendant ces deux périodes. Au lieu de scinder l'examen des conditions de détention de la sorte, elle aurait dû procéder à l'appréciation globale de l'ensemble des circonstances pendant la durée complète de détention, ainsi que cela ressort expressément de l'arrêt de renvoi (arrêt 6B_1205/2018 du 22 février 2019 consid. 3) et de la jurisprudence constante (cf. supra consid. 2.1). En l'occurrence, le recourant a passé une période de 236 jours (près de 8 mois), confiné 22 à 23 heures sur 24 dans une cellule lui offrant une surface individuelle de moins de 3,7 m</w:t>
      </w:r>
    </w:p>
    <w:p>
      <w:r>
        <w:rPr>
          <w:b/>
        </w:rPr>
        <w:t>E. 2.4</w:t>
      </w:r>
    </w:p>
    <w:p>
      <w:r>
        <w:t>Il s'ensuit que le recours doit être admis et l'arrêt attaqué annulé. Dans la constatation du nombre de jours pendant lesquels les conditions de détention ont été illicites, il faut retrancher les jours durant lesquels les conditions de détention ont été conformes à la dignité humaine, à savoir durant 2 jours (les 16 et 26 juillet 2014; espace individuel de plus de 5 m</w:t>
      </w:r>
    </w:p>
    <w:p>
      <w:r>
        <w:rPr>
          <w:b/>
        </w:rPr>
        <w:t>E. 3</w:t>
      </w:r>
    </w:p>
    <w:p>
      <w:r>
        <w:t>Le recours doit être admis. Le recourant, qui obtient gain de cause avec l'assistance d'un avocat, a droit à des dépens, à la charge du canton de Genève ( art. 68 al. 1 LTF ). Sa demande d'assistance judiciaire pour la présente procédure est sans objet. Il n'y a pas lieu de percevoir des frais judiciaires ( art. 66 al. 4 LTF ). Les frais et dépens de la procédure cantonale peuvent également être fixés dans le présent arrêt ( art. 67 et 68 al. 5 LTF ). Les dépens sont ainsi arrêtés de manière globale pour les procédures cantonale et fédérale à 4'000 francs (comprenant une indemnité de 1'000 francs pour la procédure cantonale), et les frais judiciaires de l'instance cantonale sont laissés à la charge du canton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