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6B_168/2011 vom 18. Juli 2011</w:t>
      </w:r>
    </w:p>
    <w:p>
      <w:r>
        <w:t>Bundesgericht, 2011-07-18, DE</w:t>
      </w:r>
    </w:p>
    <w:p>
      <w:r>
        <w:rPr>
          <w:b/>
        </w:rPr>
        <w:t xml:space="preserve">Quelle: </w:t>
      </w:r>
      <w:r>
        <w:t>https://mcp.opencaselaw.ch/entscheid/bger_6B_168_2011</w:t>
      </w:r>
    </w:p>
    <w:p>
      <w:r>
        <w:t>FR: TF 6B_168/2011 du 18 juillet 2011</w:t>
      </w:r>
    </w:p>
    <w:p>
      <w:r>
        <w:t>IT: TF 6B_168/2011 del 18 luglio 2011</w:t>
      </w:r>
    </w:p>
    <w:p>
      <w:pPr>
        <w:pStyle w:val="Heading2"/>
      </w:pPr>
      <w:r>
        <w:t>Erwägungen</w:t>
      </w:r>
    </w:p>
    <w:p>
      <w:r>
        <w:rPr>
          <w:b/>
        </w:rPr>
        <w:t>E. 1</w:t>
      </w:r>
    </w:p>
    <w:p>
      <w:r>
        <w:t>Der Beschwerdeführer anerkennt, dass er (mit einem Dritten zusammen) am 29. Oktober 2009 mehrere "Anti-Minarett"-Plakate von Kandelabern entfernt und damit geringfügige Sachbeschädigung begangen hat. Insoweit ist mangels Anfechtung auf die Sache nicht einzutreten ( Art. 107 Abs. 1 BGG ).</w:t>
      </w:r>
    </w:p>
    <w:p>
      <w:r>
        <w:rPr>
          <w:b/>
        </w:rPr>
        <w:t>E. 2</w:t>
      </w:r>
    </w:p>
    <w:p>
      <w:r>
        <w:t>Der Beschwerdeführer macht indessen geltend, seine Handlung sei gerechtfertigt gewesen. "Die Plakate und die dazu gehörige Propaganda der Initianten [seien] Rassismus in ihrer reinsten Form." Er sei als Muslim direkt betroffen. Die Affichage SA habe es abgelehnt, die Plakate nicht anzubringen. Angesichts der Untätigkeit der Strafbehörden habe er keine andere Möglichkeit gesehen, als die Plakate selber zu entfernen. Die Stellungnahme von Professor Kreis (Eidgenössische Kommission gegen Rassismus; EKR), dass ähnliche Plakate strafrechtlich nicht verboten seien, sei eine blosse Feststellung der Justizpraxis gewesen und keine juristische Wertung. Er (der Beschwerdeführer) habe bereits Erfahrungen mit den "Aarau oder Ankara?"-Plakaten gemacht, wo die Aargauer Behörden nicht fähig oder willens gewesen seien, strafrechtlich vorzugehen. Damals habe er sämtliche Plakate in seinem Umfeld entfernt und sei dafür verurteilt worden. Das Bundesgericht sei aber auf eine Beschwerde Dritter in diesem Zusammenhang gar nicht erst eingetreten (wegen fehlender Legitimation; Urteil 6B_123/2008 vom 23. Februar 2008).</w:t>
      </w:r>
    </w:p>
    <w:p>
      <w:r>
        <w:rPr>
          <w:b/>
        </w:rPr>
        <w:t>E. 3</w:t>
      </w:r>
    </w:p>
    <w:p>
      <w:r>
        <w:t>Die Vorinstanz verletzt kein Bundesrecht. Sie verneint zutreffend Notwehr ( Art. 15 StGB ), Notstand ( Art. 17 StGB ), Sachverhaltsirrtum ( Art. 13 Abs. 1 StGB ) sowie das Vorliegen übergesetzlicher Rechtfertigungsgründe, welche grundsätzlich das Ausschöpfen legaler Mittel voraussetzen (dazu BGE 129 IV 6 E. 3.2 und 3.3). Es kann auf das angefochtene Urteil verwiesen werden ( Art. 109 Abs. 3 BGG ).</w:t>
      </w:r>
    </w:p>
    <w:p>
      <w:r>
        <w:t>Hinsichtlich des Vorwurfs einer Untätigkeit der Aargauer Behörden ist festzuhalten, dass der blosse Umstand, dass die legalen politischen und rechtlichen Möglichkeiten ausgeschöpft erscheinen und die demokratisch legitimierten politischen Gremien bzw. Justizorgane die Auffassung des Beschwerdeführers nicht oder nur partiell teilen, diesem kein Recht gibt, sein Anliegen mit strafbaren Methoden zu verfolgen ( BGE 129 IV 6 E. 3.1). Es waren weder eine notstandsähnliche Gefahrenlage gegeben noch hochwertige Rechtsgüter unmittelbar bedroht, deren Schutz durch die Behörden nicht mehr rechtzeitig hätte erfolgen können (vgl. BGE a.a.O.). Somit vermöchte auch die vom Beschwerdeführer behauptete, aber nicht begründete ( Art. 42 Abs. 2 BGG ) Verletzung von Art. 261bis StGB (Rassendiskriminierung) die Sachbeschädigung nicht zu rechtfertigen. Die Vorinstanz konnte diese Frage deshalb offen lassen.</w:t>
      </w:r>
    </w:p>
    <w:p>
      <w:r>
        <w:t>Es kann angemerkt werden, dass Art. 10 EMRK auch Meinungsäusserungen schützt, die einen Teil der Bevölkerung verletzen, schockieren oder beunruhigen. Dies gilt im besonderen Masse für politische Auseinandersetzungen (vgl. FROWEIN/PEUKERT, Europäische Menschenrechtskonvention, 3. Aufl. 2009, Art. 10 NN 1, 6 und 33, sowie GRABENWARTER, Europäische Menschenrechtskonvention, 4. Aufl. 2009, S. 268 und 280).</w:t>
      </w:r>
    </w:p>
    <w:p>
      <w:r>
        <w:rPr>
          <w:b/>
        </w:rPr>
        <w:t>E. 4</w:t>
      </w:r>
    </w:p>
    <w:p>
      <w:r>
        <w:t>Die Beschwerde ist abzuweisen, soweit darauf einzutreten ist. Das Gesuch um unentgeltliche Rechtspflege ( Art. 64 BGG ) ist nicht begründet. Darauf wurde der Beschwerdeführer bereits mit Schreiben des Bundesgerichts vom 19. April 2011 hingewiesen. Das Gesuch ist deshalb abzuweisen ( BGE 125 IV 161 E. 4).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