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6B_166/2020 vom 9. April 2020</w:t>
      </w:r>
    </w:p>
    <w:p>
      <w:r>
        <w:t>Bundesgericht, 2020-04-09, FR</w:t>
      </w:r>
    </w:p>
    <w:p>
      <w:r>
        <w:rPr>
          <w:b/>
        </w:rPr>
        <w:t xml:space="preserve">Quelle: </w:t>
      </w:r>
      <w:r>
        <w:t>https://mcp.opencaselaw.ch/entscheid/bger_6B_166_2020</w:t>
      </w:r>
    </w:p>
    <w:p>
      <w:r>
        <w:t>FR: TF 6B_166/2020 du 9 avril 2020</w:t>
      </w:r>
    </w:p>
    <w:p>
      <w:r>
        <w:t>IT: TF 6B_166/2020 del 9 aprile 2020</w:t>
      </w:r>
    </w:p>
    <w:p>
      <w:pPr>
        <w:pStyle w:val="Heading2"/>
      </w:pPr>
      <w:r>
        <w:t>Erwägungen</w:t>
      </w:r>
    </w:p>
    <w:p>
      <w:r>
        <w:rPr>
          <w:b/>
        </w:rPr>
        <w:t>E. 1</w:t>
      </w:r>
    </w:p>
    <w:p>
      <w:r>
        <w:t>La recourante soutient qu'elle n'avait pas, au moment des faits, la capacité de se déterminer d'après son appréciation concernant le caractère illicite de son acte.</w:t>
      </w:r>
    </w:p>
    <w:p>
      <w:r>
        <w:rPr>
          <w:b/>
        </w:rPr>
        <w:t>E. 1.1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6B_713/2018 du 21 novembre 2018 consid. 5.5.1; 6B_585/2018 du 3 août 2018 consid. 4.1 et les références citées).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1.3</w:t>
      </w:r>
    </w:p>
    <w:p>
      <w:r>
        <w:t>L'autorité précédente a exposé que, durant l'audition tenue par le ministère public le 22 février 2019, l'expert avait confirmé ses conclusions selon lesquelles la recourante avait eu, au moment des faits, la capacité d'apprécier le caractère illicite de ses agissements. Il avait maintenu sa position même après avoir été confronté à l'expertise psychiatrique du 21 mars 2016 qui, concernant d'autres faits punissables, avait conclu à l'irresponsabilité de la recourante en raison d'une incapacité totale, pour celle-ci, à se déterminer d'après son appréciation - conservée - du caractère illicite de ses agissements. Il convenait ainsi de retenir, sur la base de l'expertise, que la responsabilité de la recourante était fortement limitée.</w:t>
      </w:r>
    </w:p>
    <w:p>
      <w:r>
        <w:rPr>
          <w:b/>
        </w:rPr>
        <w:t>E. 1.4</w:t>
      </w:r>
    </w:p>
    <w:p>
      <w:r>
        <w:t>La recourante énumère divers avis ayant conclu à son incapacité de discernement, dans le cadre de la présente cause ou de précédentes procédures. Or, comme l'a relevé l'autorité précédente, aucun de ces avis ne visait à déterminer spécifiquement si et dans quelle mesure la recourante avait, au moment d'agir à l'encontre de H.________, disposé de sa faculté d'apprécier le caractère illicite de son acte ou de se déterminer d'après cette appréciation. Ainsi, des constatations médicales antérieures aux événements de novembre 2017 ou concernant la capacité de l'intéressée à comparaître devant un tribunal ne sauraient faire apparaître comme arbitraires les faits retenus par la cour cantonale sur la base de l'expertise judiciaire mise en oeuvre dans la présente cause.</w:t>
      </w:r>
    </w:p>
    <w:p>
      <w:r>
        <w:rPr>
          <w:b/>
        </w:rPr>
        <w:t>E. 1.5</w:t>
      </w:r>
    </w:p>
    <w:p>
      <w:r>
        <w:t>La recourante livre ensuite sa propre lecture du rapport d'expertise du 31 octobre 2018, de manière appellatoire et, partant, irrecevable. Elle ne démontre pas quelle constatation insoutenable aurait pu être tirée, par l'autorité précédente, de l'expertise en question, mais se borne à relativiser sa fiabilité en se fondant exclusivement, à cet égard, sur ses propres impressions. En particulier, on ne voit pas ce que la recourante entend déduire des difficultés rencontrées par l'expert pour communiquer avec elle, puisque celles-ci ont été signalées dans le rapport d'expertise puis rappelées par l'intéressé durant son audition, sans que ce dernier eût conclu à une impossibilité de répondre aux questions qui lui étaient posées.</w:t>
      </w:r>
    </w:p>
    <w:p>
      <w:r>
        <w:t>Pour le reste, la recourante critique les réponses fournies par l'expert et met en cause le sérieux de ses conclusions, en prétendant que l'intéressé aurait été incapable d'expliquer pour quels motifs il avait retenu, chez elle, une capacité d'apprécier le caractère illicite de son acte, contrairement notamment aux conclusions d'une autre expertise réalisée en 2016. Or, l'expert a, dans le cadre de son audition devant le ministère public, rappelé que la capacité à se déterminer concernant le caractère illicite des actes "est quelque chose de fluctuant" (cf. PV d'audition 2, p. 7). Il a en outre expressément indiqué que, selon lui, la recourante avait pu comprendre l'agression commise comme "quelque chose de mal, qui pouvait avoir des conséquences négatives, quelque chose qui était également spécifiquement interdit". L'expert a précisé que l'intéressée avait déjà, par le passé, attaqué un autre résident dans son sommeil et que la directrice de l'institution lui avait rappelé "qu'il s'agissait de quelque chose d'interdit". Selon l'expert, la recourante avait associé "la possibilité de demander de l'aide à un veilleur comme une alternative plus constructive qui n'aurait pas de conséquence négative pour la victime ni pour elle-même" (cf.</w:t>
      </w:r>
    </w:p>
    <w:p>
      <w:r>
        <w:t>Idem , p. 5). Sur la base de ce qui précède, la cour cantonale pouvait, sans arbitraire, retenir que la recourante avait eu, au moment d'agir, la capacité d'apprécier le caractère illicite de son acte. Pour le reste, l'expert a répondu à l'allégation de la recourante selon laquelle les sanctions encourues dans le cadre de sa détention auraient révélé, chez elle, une incapacité à voir sa volonté influencée par une privation de liberté. Celui-ci a en effet déclaré que tel n'était pas le cas, notamment en relevant qu'il était déjà arrivé à la recourante, par le passé, d'annoncer - sous forme de menaces - qu'elle voulait fuguer, avoir des relations sexuelles et tomber enceinte, soit d'indiquer être prête à adopter des comportements pouvant avoir des effets négatifs pour elle, sans pour autant systématiquement concrétiser de tels projets (cf.</w:t>
      </w:r>
    </w:p>
    <w:p>
      <w:r>
        <w:t>Idem , p. 6). L'inadaptation de la recourante dans le milieu carcéral et les effets de sa détention sur son état psychique - mis en avant par l'intéressée sur la base de constats médicaux du Service de médecine et psychiatrie pénitentiaires (ci-après SMPP; cf. pièces 97 et 98 du dossier cantonal) - ne font pas davantage apparaître les constatations de l'autorité précédente comme arbitraires, la question de la responsabilité pénale et celle du cadre adapté à la prise en charge d'une pathologie ne pouvant être confondues.</w:t>
      </w:r>
    </w:p>
    <w:p>
      <w:r>
        <w:rPr>
          <w:b/>
        </w:rPr>
        <w:t>E. 1.6</w:t>
      </w:r>
    </w:p>
    <w:p>
      <w:r>
        <w:t>C'est donc sans arbitraire que la cour cantonale s'est fondée sur les conclusions de l'expertise psychiatrique mise en oeuvre pour retenir que la recourante avait, au moment d'agir, conservé la faculté d'apprécier le caractère illicite de ses actes, sa capacité à se déterminer d'après cette appréciation ayant en revanche été fortement limitée. L'autorité précédente n'a pas violé le droit fédéral en reconnaissant chez la recourante une responsabilité restreinte. Le grief doit être rejeté dans la mesure où il est recevable.</w:t>
      </w:r>
    </w:p>
    <w:p>
      <w:r>
        <w:rPr>
          <w:b/>
        </w:rPr>
        <w:t>E. 2</w:t>
      </w:r>
    </w:p>
    <w:p>
      <w:r>
        <w:t>La recourante conteste avoir été animée par une intention homicide.</w:t>
      </w:r>
    </w:p>
    <w:p>
      <w:r>
        <w:rPr>
          <w:b/>
        </w:rPr>
        <w:t>E. 2.1</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2.2</w:t>
      </w:r>
    </w:p>
    <w:p>
      <w:r>
        <w:t>La cour cantonale a exposé que la recourante avait confié son intention de tuer H.________ à l'expert, à un éducateur, ainsi qu'à deux personnes auxquelles elle avait écrit durant sa détention. L'intention homicide de l'intéressée résultait en outre du choix de l'arme utilisée, de l'endroit du corps visé - soit le cou de H.________ - et du fait qu'au moins deux coups avaient été portés dans cette zone.</w:t>
      </w:r>
    </w:p>
    <w:p>
      <w:r>
        <w:rPr>
          <w:b/>
        </w:rPr>
        <w:t>E. 2.3</w:t>
      </w:r>
    </w:p>
    <w:p>
      <w:r>
        <w:t>La recourante commence par affirmer qu'elle n'aurait jamais été "confrontée à l'accusation de tentative de meurtre par les autorités pénales". Elle ne formule, à cet égard, aucun grief motivé à satisfaction (cf. art. 42 al. 2 LTF ) concernant une éventuelle violation de la maxime d'accusation, aspect qui n'a de toute manière pas été traité par l'autorité précédente, sans que l'intéressée se plaigne, à cet égard, d'un déni de justice formel (cf. art. 80 al. 1 LTF ). Pour le reste, la cour cantonale n'a pas établi les faits sur la base des déclarations faites par la recourante devant le ministère public, de sorte qu'on ne distingue pas dans quelle mesure l'autorité précédente aurait pu verser dans l'arbitraire à cet égard.</w:t>
      </w:r>
    </w:p>
    <w:p>
      <w:r>
        <w:rPr>
          <w:b/>
        </w:rPr>
        <w:t>E. 2.4</w:t>
      </w:r>
    </w:p>
    <w:p>
      <w:r>
        <w:t>La recourante se plaint du fait que les membres du personnel de l'institution auxquels elle a confié son intention homicide - et qui ont rapporté celle-ci dans des rapports - n'eussent jamais été entendus. Elle ne formule, sur ce point, pas davantage de grief recevable (cf. art. 42 al. 2 et 106 al. 2 LTF), propre à démontrer une éventuelle violation de son droit d'être entendue ou de l' art. 145 CPP , qu'elle se borne à mentionner sans plus de développements.</w:t>
      </w:r>
    </w:p>
    <w:p>
      <w:r>
        <w:t>Par ailleurs, la preuve par ouï-dire ("</w:t>
      </w:r>
    </w:p>
    <w:p>
      <w:r>
        <w:t>vom Hörensagen ") n'est pas en tant que telle exclue en droit pénal (cf. art. 10 al. 2 CPP ; arrêts 6B_324/2017 du 8 mars 2018 consid. 1.2.2; 6B_862/2015 du 7 novembre 2016 consid. 4.2), bien que le témoin concerné ne fasse que rapporter ce qui lui a été dit et ne puisse attester de la véracité des déclarations qui lui ont été faites (cf. arrêt 6B_862/2015 précité consid. 4.2). En l'occurrence, la recourante ne peut donc être suivie lorsqu'elle affirme que les déclarations faites aux membres du personnel de l'institution seraient dénuées de toute valeur probante, puisque celles-ci sont venues confirmer des aveux identiques, effectués notamment dans la correspondance évoquée par la cour cantonale.</w:t>
      </w:r>
    </w:p>
    <w:p>
      <w:r>
        <w:rPr>
          <w:b/>
        </w:rPr>
        <w:t>E. 2.5</w:t>
      </w:r>
    </w:p>
    <w:p>
      <w:r>
        <w:t>La recourante affirme que la paire de ciseaux utilisée lors de l'agression n'aurait jamais été retrouvée, que H.________ n'a jamais été entendu durant la procédure et que les plaies constatées sur ce dernier étaient superficielles, de sorte que la vie du prénommé n'a pas été mise en danger. On ne voit pas en quoi l'un ou l'autre de ces éléments ferait apparaître comme arbitraire la constatation de la cour cantonale relative à l'intention homicide qui avait animé la recourante. Pour le surplus, la recourante ne démontre aucunement que les constatations tirées par la cour cantonale des circonstances de l'agression - notamment liées à l'arme utilisée et à la zone du corps visée - auraient été arbitrairement utilisées pour soutenir le constat de l'existence, chez elle, d'une intention homicide.</w:t>
      </w:r>
    </w:p>
    <w:p>
      <w:r>
        <w:rPr>
          <w:b/>
        </w:rPr>
        <w:t>E. 2.6</w:t>
      </w:r>
    </w:p>
    <w:p>
      <w:r>
        <w:t>La recourante affirme que l'expert psychiatre n'apporterait "pas la preuve [qu'elle] a été renseignée sur son droit de se taire" comme l'exige l' art. 185 al. 5 CPP .</w:t>
      </w:r>
    </w:p>
    <w:p>
      <w:r>
        <w:t>Aux termes de cette dernière disposition,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S'agissant du prévenu, la prescription de l' art. 185 al. 5 CPP est similaire à celle comprise à l' art. 158 al. 1 let. b CPP , selon laquelle, au début de la première audition, la police ou le ministère public informent le prévenu dans une langue qu'il comprend qu'il peut refuser de déposer et de collaborer. L'expert doit ainsi informer celui-ci de ses droits au début de ses investigations, même si l'intéressé en a déjà, auparavant, été informé par la police ou le ministère public (cf. arrêt 6B_824/2018 du 19 septembre 2018 consid. 1.1 et les références citées). Le fait que cette information eût été faite peut ressortir directement du rapport d'expertise (cf. arrêt 6B_824/2018 précité consid. 1.2).</w:t>
      </w:r>
    </w:p>
    <w:p>
      <w:r>
        <w:t>En l'occurrence, il ressort expressément de la première page du rapport du 31 octobre 2018 que, conformément à l' art. 185 al. 5 CPP , la recourante "a été informée de son droit à ne pas répondre aux questions dans le cadre de l'expertise" (cf. pièce 34 du dossier cantonal). On ne voit donc pas, contrairement à ce que suggère la recourante, ce qui pourrait justifier une "invalidation du moyen de preuve", l'intéressée ne contestant pas, au demeurant, que la communication en question lui eût été faite.</w:t>
      </w:r>
    </w:p>
    <w:p>
      <w:r>
        <w:rPr>
          <w:b/>
        </w:rPr>
        <w:t>E. 2.7</w:t>
      </w:r>
    </w:p>
    <w:p>
      <w:r>
        <w:t>La recourante reproche à la cour cantonale d'avoir retenu, à sa charge, les déclarations faites à l'expert psychiatre, comme celle-ci l'aurait fait avec des propos tenus dans le cadre de la procédure pénale proprement dite, en se référant à cet égard à l'arrêt publié aux ATF 144 I 253 .</w:t>
      </w:r>
    </w:p>
    <w:p>
      <w:r>
        <w:t>Or, la cour cantonale n'a pas, dans le jugement attaqué, apprécié les déclarations faites par la recourante devant l'expert comme celles qui auraient pu être faites dans le cadre d'une audition, en discutant leur éventuelle valeur probante ou en utilisant celles-ci pour relativiser la portée d'autres propos contradictoires. Elle a uniquement relevé que la recourante n'avait "pas seulement confié son envie de tuer aux experts et à un éducateur comme exposé par les premiers juges, mais également à deux personnes auxquelles elle a écrit durant sa détention", avant d'ajouter que l'intention homicide ne résultait pas uniquement des déclarations de l'intéressée, mais aussi "des actes concluants accomplis et de leur enchaînement" (cf. jugement attaqué, p. 16). Cette appréciation ne consacre aucun établissement arbitraire des faits ni violation du droit.</w:t>
      </w:r>
    </w:p>
    <w:p>
      <w:r>
        <w:rPr>
          <w:b/>
        </w:rPr>
        <w:t>E. 2.8</w:t>
      </w:r>
    </w:p>
    <w:p>
      <w:r>
        <w:t>L'autorité précédente pouvait donc, sans verser dans l'arbitraire ou violer le droit fédéral, considérer que la recourante avait eu une intention homicide en agissant et condamner cette dernière pour tentative de meurtre.</w:t>
      </w:r>
    </w:p>
    <w:p>
      <w:r>
        <w:rPr>
          <w:b/>
        </w:rPr>
        <w:t>E. 3</w:t>
      </w:r>
    </w:p>
    <w:p>
      <w:r>
        <w:t>La recourante conteste la mesure thérapeutique institutionnelle instaurée en sa faveur, en soutenant que celle-ci ne pourrait être exécutée dans un établissement approprié.</w:t>
      </w:r>
    </w:p>
    <w:p>
      <w:r>
        <w:rPr>
          <w:b/>
        </w:rPr>
        <w:t>E. 3.1</w:t>
      </w:r>
    </w:p>
    <w:p>
      <w:r>
        <w:t>Pour ordonner une mesure à titre de l' art. 59 CP , le juge se fonde sur une expertise. Celle-ci détermine notamment les possibilités de faire exécuter la mesure ( art. 56 al. 3 let . c CP). En vertu de l' art. 56 al. 5 CP , en règle générale, le juge n'ordonne une mesure que si un établissement approprié est à disposition. Cette disposition vise à éviter que le juge n'ordonne une mesure sans s'assurer au préalable de l'existence d'une institution susceptible de l'exécuter (arrêts 6B_1167/2018 du 23 janvier 2019 consid. 4.3.1; 6B_27/2018 du 30 mai 2018 consid. 4.1).</w:t>
      </w:r>
    </w:p>
    <w:p>
      <w:r>
        <w:t>Le traitement institutionnel s'effectue dans un établissement psychiatrique approprié ou dans un établissement d'exécution des mesures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w:t>
      </w:r>
    </w:p>
    <w:p>
      <w:r>
        <w:rPr>
          <w:b/>
        </w:rPr>
        <w:t>E. 3.2</w:t>
      </w:r>
    </w:p>
    <w:p>
      <w:r>
        <w:t>La cour cantonale a exposé que, selon l'expert psychiatre, la mesure institutionnelle devrait être exécutée dans une "institution spécialisée dans les troubles du développement ou un foyer psychiatrique". Celui-ci avait évoqué la "difficulté pratique" à trouver "un établissement prêt à accueillir [la recourante] et qui bénéficie d'une équipe psycho-éducative spécialisée dans le trouble envahissant du développement, le retard mental et les troubles psychiatriques", avant d'ajouter que l'Hôpital psychiatrique de G.________ collaborait avec le Service de prévoyance et d'aide sociales et la Section de psychiatrie du développement mental "pour trouver un établissement adapté et organiser une transition et un encadrement dans de bonnes conditions". Ainsi, pour l'autorité précédente, l'expert n'avait nullement exclu qu'un établissement approprié puisse exister, mais en avait dessiné les contours en excluant implicitement un établissement exclusivement carcéral.</w:t>
      </w:r>
    </w:p>
    <w:p>
      <w:r>
        <w:rPr>
          <w:b/>
        </w:rPr>
        <w:t>E. 3.3</w:t>
      </w:r>
    </w:p>
    <w:p>
      <w:r>
        <w:t>La recourante rappelle qu'elle avait requis, devant l'autorité précédente, des mesures d'instruction, en demandant que le SMPP et l'Office d'exécution des peines fussent amenés à répondre à une série de questions concernant le suivi psychiatrique et les conditions d'exécution de la mesure qui pourraient être assurés, en se bornant à affirmer que la cour cantonale aurait rejeté celles-ci "à tort". Ce faisant, l'intéressée ne formule aucun grief recevable, répondant aux exigences de motivation découlant des art. 42 al. 2 et 106 al. 2 LTF, concernant le droit d'être entendu et les preuves complémentaires nécessaires au traitement du recours (cf. art. 389 al. 3 CPP ).</w:t>
      </w:r>
    </w:p>
    <w:p>
      <w:r>
        <w:rPr>
          <w:b/>
        </w:rPr>
        <w:t>E. 3.4</w:t>
      </w:r>
    </w:p>
    <w:p>
      <w:r>
        <w:t>La recourante se contente, pour le reste, de prétendre que l'existence d'un établissement idoine n'aurait pas été établie, sans démontrer qu'il aurait été arbitraire, pour la cour cantonale, de retenir qu'un tel établissement pourrait être trouvé, ce qui n'avait aucunement été nié par l'expert psychiatre. Dès lors qu'il ne ressort pas du jugement attaqué que des recherches concernant un établissement approprié auraient déjà été entreprises, ni, partant, qu'aucun établissement n'aurait pu être identifié, la recourante ne peut être suivie lorsqu'elle prétend être exposée au risque de se voir "privée de liberté pour une durée indéterminée dans des conditions incompatibles avec son état de santé".</w:t>
      </w:r>
    </w:p>
    <w:p>
      <w:r>
        <w:rPr>
          <w:b/>
        </w:rPr>
        <w:t>E. 3.5</w:t>
      </w:r>
    </w:p>
    <w:p>
      <w:r>
        <w:t>L'autorité précédente n'a donc pas violé le droit fédéral en instaurant une mesure thérapeutique institutionnelle en faveur de la recourante.</w:t>
      </w:r>
    </w:p>
    <w:p>
      <w:r>
        <w:rPr>
          <w:b/>
        </w:rPr>
        <w:t>E. 4</w:t>
      </w:r>
    </w:p>
    <w:p>
      <w:r>
        <w:t>La recourante reproduit enfin, dans son mémoire de recours au Tribunal fédéral, un grief qui avait été formulé dans sa déclaration d'appel à propos des dépens alloués à l'intimée (cf. pièce 102/1 du dossier cantonal). Cette manière de faire est inadmissible et ne répond pas aux exigences de motivation découlant de l' art. 42 al. 2 LTF .</w:t>
      </w:r>
    </w:p>
    <w:p>
      <w:r>
        <w:rPr>
          <w:b/>
        </w:rPr>
        <w:t>E. 5</w:t>
      </w:r>
    </w:p>
    <w:p>
      <w:r>
        <w:t>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