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166/2017 vom 16. November 2017</w:t>
      </w:r>
    </w:p>
    <w:p>
      <w:r>
        <w:t>Bundesgericht, 2017-11-16, FR</w:t>
      </w:r>
    </w:p>
    <w:p>
      <w:r>
        <w:rPr>
          <w:b/>
        </w:rPr>
        <w:t xml:space="preserve">Quelle: </w:t>
      </w:r>
      <w:r>
        <w:t>https://mcp.opencaselaw.ch/entscheid/bger_6B_166_2017</w:t>
      </w:r>
    </w:p>
    <w:p>
      <w:r>
        <w:t>FR: TF 6B 166/2017 du 16 novembre 2017</w:t>
      </w:r>
    </w:p>
    <w:p>
      <w:r>
        <w:t>IT: TF 6B 166/2017 del 16 novembre 2017</w:t>
      </w:r>
    </w:p>
    <w:p>
      <w:pPr>
        <w:pStyle w:val="Heading2"/>
      </w:pPr>
      <w:r>
        <w:t>Regeste</w:t>
      </w:r>
    </w:p>
    <w:p>
      <w:r>
        <w:t>Violation de la maxime d'accusation et du principe d'immutabilité; sursis partiel à l'exécution de la peine | Droit pénal (en général)</w:t>
      </w:r>
    </w:p>
    <w:p>
      <w:pPr>
        <w:pStyle w:val="Heading2"/>
      </w:pPr>
      <w:r>
        <w:t>Erwägungen</w:t>
      </w:r>
    </w:p>
    <w:p>
      <w:r>
        <w:rPr>
          <w:b/>
        </w:rPr>
        <w:t>E. 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ou en violation du droit au sens de l' art. 95 LTF ( art. 97 al. 1 LTF ), ce qu'il lui appartient d'exposer et de démontrer de manière claire et circonstanciée (cf. art. 106 al. 2 LTF ). Les critiques de nature appellatoire sont irrecevables ( ATF 142 III 364 consid. 2.4 p. 368 et les références citées). En l'espèce, l'argumentation du recourant est irrecevable dans la mesure où elle s'écarte de l'état de fait de la cour cantonale, dont l'intéressé ne prétend ni ne démontre qu'il serait entaché d'arbitraire. Il en va ainsi lorsqu'il conteste avoir blessé l'intimé et B.________ le 14 juin 2014, ou lorsqu'il prétend qu'il n'aurait pas été armé du couteau ayant causé les lésions concernées. Le recourant estime par ailleurs qu'il devrait être acquitté du chef de prévention de lésions corporelles simples qualifiées dès lors qu'"aucun élément probant" ne soutiendrait la version des faits retenue par la cour cantonale. Il se contente à cet égard d'invoquer le principe "in dubio pro reo", sans développer une argumentation topique concernant l'arbitraire dans l'établissement des faits et l'appréciation des preuves. Son argumentation est ainsi irrecevable, faute de répondre aux exigences de motivation des art. 42 al. 2 et 106 al. 2 LTF.</w:t>
      </w:r>
    </w:p>
    <w:p>
      <w:r>
        <w:rPr>
          <w:b/>
        </w:rPr>
        <w:t>E. 2</w:t>
      </w:r>
    </w:p>
    <w:p>
      <w:r>
        <w:t>Le recourant reproche à la cour cantonale d'avoir violé la maxime d'accusation et en particulier le principe d'immutabilité de l'acte d'accusation concernant les événements du 14 juin 2014. Il se plaint également, à cet égard, d'une violation de son droit d'être entendu ( art. 29 al. 2 Cst. ) et de son droit à un procès équitable ( art. 6 CEDH ).</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6B_1335/2016 du 5 septembre 2017 consid. 2.1). L'acte d'accusation définit l'objet du procès et sert également à informer le prévenu (fonction de délimitation et d'information) ( ATF 143 IV 63 consid. 2.2 p. 65; 141 IV 132 consid. 3.4.1 p. 142 s. et les références citées). Des imprécisions relatives au lieu ou à la date sont sans portée, dans la mesure où le prévenu ne peut avoir de doute sur le comportement qui lui est reproché (arrêts 6B_275/2016 du 9 décembre 2016 consid. 2.1; 6B_1141/2015 du 3 juin 2016 consid. 1.1).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6B_28/2016 du 10 octobre 2016 consid. 2.1; 6B_666/2015 du 27 juin 2016 consid. 1.4.1).</w:t>
      </w:r>
    </w:p>
    <w:p>
      <w:r>
        <w:rPr>
          <w:b/>
        </w:rPr>
        <w:t>E. 2.2</w:t>
      </w:r>
    </w:p>
    <w:p>
      <w:r>
        <w:t>Selon l' art. 123 ch. 1 CP , celui qui, intentionnellement, aura fait subir à une personne une atteinte à l'intégrité corporelle ou à la santé sera, sur plainte, puni d'une peine privative de liberté de trois ans au plus ou d'une peine pécuniaire. La peine sera une peine privative de liberté de trois ans au plus ou une peine pécuniaire et la poursuite aura lieu d'office, notamment si le délinquant a fait usage du poison, d'une arme ou d'un objet dangereux ( art. 123 ch. 1 al. 1 et 2 CP ). L' art. 123 CP concerne les lésions du corps humain ou de la santé qui ne peuvent être qualifiées de graves au sens de l' art. 122 CP . Il protège l'intégrité corporelle et la santé tant physique que psychique ( ATF 134 IV 189 consid. 1.1 p. 191; 119 IV 25 consid. 2a p. 26). La réalisation de cette infraction suppose que l'auteur adopte un comportement dangereux, qu'il inflige à sa victime une lésion au corps humain ou à la santé, qu'il existe un rapport de causalité entre le comportement de l'auteur et les lésions subies par la victime. L'auteur doit en outre agir volontairement, le dol éventuel étant suffisant (cf.  BERNARD    CORBOZ, Les infractions en droit suisse, vol. I, 3ème édition 2010, nos 1 ss ad art. 123 CP ).</w:t>
      </w:r>
    </w:p>
    <w:p>
      <w:r>
        <w:rPr>
          <w:b/>
        </w:rPr>
        <w:t>E. 2.3</w:t>
      </w:r>
    </w:p>
    <w:p>
      <w:r>
        <w:t>L'acte d'accusation a la teneur suivante, s'agissant des faits reprochés au recourant : " Le 14 juin 2014 à Lausanne vers 22h40, rue C.________, à proximité de l'établissement public « D.________ » [le recourant] a attaqué B.________ au moyen d'un couteau de cuisine de style hachoir mesurant près de 30 cm, qu'il est allé chercher chez son frère (et à l'insu de celui-ci) dans l'intention de s'en servir comme décrit ci-après, causant à B.________ une plaie perforante de 3 centimètres au flanc gauche sans lésions organiques, lésion qui a nécessité la pose de 11 points de suture. Lors des faits, le prévenu a aussi blessé [l'intimé] au front lui causant une plaie de 1 centimètre. [...] Les articles 122 et 123 CP paraissent applicables au [recourant]." L'acte d'accusation a par ailleurs la teneur suivante s'agissant des faits reprochés à l'intimé : " Le 14 juin 2014 vers 22h40 à Lausanne rue C.________, à proximité de l'établissement public « D.________ » , [l'intimé] a, agissant avec B.________ (cas traité séparément), agressé [le recourant]. Lors de l'agression, ce dernier a reçu des coups de poings et de pieds au visage et à l'abdomen. Il a subi des lésions corporelles (ecchymoses multiples au visage et blessure au pouce gauche). Les coups ont été portés tant par [l'intimé] que son comparse B.________, tandis que X.________ était immobilisé par ses agresseurs. "</w:t>
      </w:r>
    </w:p>
    <w:p>
      <w:r>
        <w:rPr>
          <w:b/>
        </w:rPr>
        <w:t>E. 2.4</w:t>
      </w:r>
    </w:p>
    <w:p>
      <w:r>
        <w:t>En l'espèce, l'acte d'accusation indique que le recourant a assailli B.________ avec un couteau et lui a causé une lésion au flanc gauche. Il en ressort également que le recourant a infligé une blessure à l'intimé, au moyen de cette arme, occasionnant à celui-ci une plaie au front. L'acte d'accusation décrit ainsi les éléments constitutifs objectifs de l'infraction réprimée par l' art. 123 ch. 1 al. 1 et 2 CP . Par ailleurs, dans la mesure où l'état de fait exposé par le ministère public ne peut être réalisé qu'intentionnellement, l'élément subjectif est suffisamment concrétisé (cf. ATF 120 IV 348 consid. 3c p. 356 et la référence citée).</w:t>
      </w:r>
    </w:p>
    <w:p>
      <w:r>
        <w:rPr>
          <w:b/>
        </w:rPr>
        <w:t>E. 2.5</w:t>
      </w:r>
    </w:p>
    <w:p>
      <w:r>
        <w:t>Le recourant fait grief à la cour cantonale d'avoir précisé que, peu avant l'altercation, B.________ venait d'avoir un différend avec un dealer, qu'il avait été abordé par l'intéressé et que la discussion s'était envenimée. Le fait que ces éléments n'aient pas figuré sur l'acte d'accusation ne suffit pas pour admettre une violation de la maxime d'accusation, dès lors qu'il ne s'agit pas d'éléments constitutifs de l'infraction retenue, mais d'une simple description du contexte dans lequel a pris place l'altercation. La cour cantonale a constaté divers éléments qui n'étaient aucunement mentionnés dans l'acte d'accusation, mais qui permettaient cependant de réfuter les dénégations du recourant, lequel contestait avoir blessé B.________ le jour des faits. Ces ajouts s'inscrivent clairement dans le même complexe de faits que celui décrit dans l'acte d'accusation et n'ont d'influence ni sur l'appréciation juridique des événements ni sur la réalisation de l'infraction. On ne voit pas, au demeurant, en quoi la description des causes de l'altercation entre le recourant et B.________ par l'autorité précédente aurait pu mettre en péril les fonctions de délimitation et d'information de l'acte d'accusation. En effet, le recourant ne pouvait nourrir de doutes concernant les actes et le comportement qui lui étaient reprochés, soit le fait d'avoir porté des coups de couteau à l'intimé et à B.________. Par ailleurs, comme l'a relevé l'autorité précédente, la rue C.________ n'est distante de la place A.________ que de quelques centaines de mètres. On ne saurait ainsi reprocher à la cour cantonale d'avoir, dans son état de fait, précisé que l'altercation avait débuté à la place A.________ - avec le coup porté à B.________ par le recourant - et s'était achevée à proximité de l'établissement public "D.________", endroit où le recourant avait été rejoint par l'intimé et B.________ et avait à son tour été agressé. Le contexte géographique décrit par l'autorité précédente est compatible avec celui ressortant de l'acte d'accusation, de sorte que le recourant ne pouvait avoir de doutes relatifs à l'endroit où s'étaient déroulés les faits pour lesquels il était mis en accusation. Celui-ci ne tire d'ailleurs aucune conclusion de la divergence existant entre l'état de fait de la cour cantonale et l'acte d'accusation, mais se contente d'en pointer l'existence. De même, la cour cantonale pouvait valablement retenir que le recourant avait causé des lésions à ses victimes au moyen d'un couteau qu'il portait sur lui et non en utilisant le "couteau de cuisine de style hachoir" qu'il était allé chercher chez son frère et dont fait état l'acte d'accusation. En effet, l'utilisation d'une arme, et plus particulièrement d'un couteau, ressortait clairement de l'acte d'accusation, de sorte que l'autorité précédente n'a introduit aucun fait nouveau concernant les éléments constitutifs de l'infraction, mais s'est écartée de celui-ci sur un point accessoire, soit l'objet avec lequel les coups ont effectivement été portés. On ne voit pas, au demeurant, en quoi cet élément aurait privé le recourant de son droit d'être entendu ou l'aurait empêché de préparer et de déployer efficacement sa défense. Enfin, contrairement à ce que soutient le recourant, l'acte d'accusation ne laisse nullement penser qu'il aurait blessé B.________ en adoptant un comportement "essentiellement défensif". Celui-ci indique au contraire que le recourant a "attaqué" le prénommé au moyen d'un couteau, ce qui suggère une posture offensive. Il découle de ce qui précède que la cour cantonale n'a pas violé la maxime d'accusation, ni les droits constitutionnels et conventionnels dont découle celle-ci, en retenant l'état de fait sur la base duquel elle a condamné le recourant pour lésions corporelles simples qualifiées. Le grief doit être rejeté.</w:t>
      </w:r>
    </w:p>
    <w:p>
      <w:r>
        <w:rPr>
          <w:b/>
        </w:rPr>
        <w:t>E. 3</w:t>
      </w:r>
    </w:p>
    <w:p>
      <w:r>
        <w:t>Le recourant ne critique la quotité de la peine privative de liberté à laquelle il a été condamné qu'en relation avec l'acquittement du chef de prévention de lésions corporelles simples qualifiées, qu'il n'obtient pas (cf. consid. 2.5 supra). Il ne développe, pour le surplus, aucun grief recevable à cet égard (cf. art. 42 al. 2 LTF ).</w:t>
      </w:r>
    </w:p>
    <w:p>
      <w:r>
        <w:rPr>
          <w:b/>
        </w:rPr>
        <w:t>E. 4</w:t>
      </w:r>
    </w:p>
    <w:p>
      <w:r>
        <w:t>Le recourant reproche à la cour cantonale de ne pas avoir assorti sa peine privative de liberté d'un sursis partiel à l'exécution.</w:t>
      </w:r>
    </w:p>
    <w:p>
      <w:r>
        <w:rPr>
          <w:b/>
        </w:rPr>
        <w:t>E. 4.1</w:t>
      </w:r>
    </w:p>
    <w:p>
      <w:r>
        <w:t>L' art. 43 al. 1 CP prévoit que le juge peut suspendre partiellement l'exécution d'une peine pécuniaire, d'un travail d'intérêt général ou d'une peine privative de liberté d'un an au moins et de trois ans au plus afin de tenir compte de façon appropriée de la faute de l'auteur. Même si cette disposition ne le prévoit pas expressément, l'octroi d'un sursis partiel suppose, comme pour l'octroi du sursis complet dans le cadre de l' art. 42 CP , l'absence de pronostic défavorable ( ATF 134 IV 60 consid. 7.4 p. 77 s.).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134 IV 1 consid. 5.3.1 p. 10). Pour émettre ce pronostic sur le comportement futur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Le juge dispose d'un large pouvoir d'appréciation dans l'émission du pronostic. Le Tribunal fédéral n'intervient que s'il en a abusé ( ATF 134 IV 140 consid. 4.2 p. 143).</w:t>
      </w:r>
    </w:p>
    <w:p>
      <w:r>
        <w:rPr>
          <w:b/>
        </w:rPr>
        <w:t>E. 4.2</w:t>
      </w:r>
    </w:p>
    <w:p>
      <w:r>
        <w:t>La cour cantonale a considéré que le sursis partiel était exclu dès lors qu'il s'agissait de la cinquième condamnation du recourant, que ce dernier avait déjà été sanctionné par des peines privatives de liberté fermes (de moins de 6 mois, cf. arrêt 6B_352/2014 du 22 mai 2015 consid. 7.1 in fine, non publié aux ATF 141 IV 273 ) et avait néanmoins gravement récidivé. Même si les renseignements obtenus sur l'intéressé auprès de la Fondation F.________ étaient favorables, celui-ci persistait à nier les faits, ce qui empêchait toute réelle prise de conscience au sujet de sa dangerosité et qui relativisait le constat positif de l'institution. Au demeurant, ce constat faisait état de consommation d'alcool et de stupéfiants à plusieurs reprises durant le séjour du recourant dans l'institution. Au vu du casier judiciaire de l'intéressé et de la nature des infractions commises dans le cadre de la procédure, la cour cantonale a exclu l'octroi du sursis partiel.</w:t>
      </w:r>
    </w:p>
    <w:p>
      <w:r>
        <w:rPr>
          <w:b/>
        </w:rPr>
        <w:t>E. 4.3</w:t>
      </w:r>
    </w:p>
    <w:p>
      <w:r>
        <w:t>Le recourant indique qu'il a exécuté "pas moins de 596 jours de détention avant jugement", ainsi que quelques mois pour l'exécution de précédentes condamnations, de sorte qu'il aurait été privé de liberté pendant plus de deux ans. Cependant, on ne voit pas en quoi la durée de la détention avant jugement pourrait influer sur le pronostic relatif à l' art. 43 CP . Il affirme par ailleurs que les infractions pour lesquelles il a été condamné par la cour cantonale auraient été commises alors qu'il vivait "en marge de la société" et qu'il présentait une "dépendance aux produits stupéfiants et à l'alcool", qu'il aurait depuis réussi à "éradiquer" ou à "maîtriser". De tels éléments ne ressortent toutefois pas du jugement attaqué et le recourant ne soulève aucun grief recevable pour se plaindre de l'arbitraire de leur omission. Il n'y a dès lors pas lieu d'en tenir compte. Le recourant ne saurait enfin tirer argument d'un prétendu risque de le voir retomber dans la délinquance si le sursis à l'exécution devait lui être refusé et que le solde de sa peine devait être purgé. En définitive, pour les motifs indiqués, la cour cantonale n'a pas violé le droit fédéral en refusant d'octroyer au recourant un sursis partiel à l'exécution. Mal fondé, le grief doit être rejeté.</w:t>
      </w:r>
    </w:p>
    <w:p>
      <w:r>
        <w:rPr>
          <w:b/>
        </w:rPr>
        <w:t>E. 5</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 L'intimé, qui n'a pas été invité à se déterminer sur le recours,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