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164/2018 vom 9. April 2018</w:t>
      </w:r>
    </w:p>
    <w:p>
      <w:r>
        <w:t>Bundesgericht, 2018-04-09, DE</w:t>
      </w:r>
    </w:p>
    <w:p>
      <w:r>
        <w:rPr>
          <w:b/>
        </w:rPr>
        <w:t xml:space="preserve">Quelle: </w:t>
      </w:r>
      <w:r>
        <w:t>https://mcp.opencaselaw.ch/entscheid/bger_6B_164_2018</w:t>
      </w:r>
    </w:p>
    <w:p>
      <w:r>
        <w:t>FR: TF 6B 164/2018 du 9 avril 2018</w:t>
      </w:r>
    </w:p>
    <w:p>
      <w:r>
        <w:t>IT: TF 6B 164/2018 del 9 aprile 2018</w:t>
      </w:r>
    </w:p>
    <w:p>
      <w:pPr>
        <w:pStyle w:val="Heading2"/>
      </w:pPr>
      <w:r>
        <w:t>Regeste</w:t>
      </w:r>
    </w:p>
    <w:p>
      <w:r>
        <w:t>Strafvollzug (Vollzugsauftrag) | Straf- und Massnahmenvollzug</w:t>
      </w:r>
    </w:p>
    <w:p>
      <w:pPr>
        <w:pStyle w:val="Heading2"/>
      </w:pPr>
      <w:r>
        <w:t>Erwägungen</w:t>
      </w:r>
    </w:p>
    <w:p>
      <w:r>
        <w:rPr>
          <w:b/>
        </w:rPr>
        <w:t>E. 1</w:t>
      </w:r>
    </w:p>
    <w:p>
      <w:r>
        <w:t>Auf die Laienbeschwerde ist einzutreten. Die rechtlichen Mängel liegen geradezu auf der Hand ( BGE 142 I 99 E. 1.7.1).</w:t>
      </w:r>
    </w:p>
    <w:p>
      <w:r>
        <w:rPr>
          <w:b/>
        </w:rPr>
        <w:t>E. 2.1</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Die Begründungspflicht dient dazu, den Parteien die für den Entscheid massgebenden Umstände zur Kenntnis zu bringen, damit sie sich ein Bild über die Tragweite machen, ihn auf seine Richtigkeit hin überprüfen und gegebenenfalls sachgemäss anfechten können.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w:t>
      </w:r>
    </w:p>
    <w:p>
      <w:r>
        <w:rPr>
          <w:b/>
        </w:rPr>
        <w:t>E. 2.2</w:t>
      </w:r>
    </w:p>
    <w:p>
      <w:r>
        <w:t>Der Vollzug eines Entscheides setzt voraus, dass dieser in Rechtskraft erwachsen ist (vgl. Art. 439 ff. StPO ). Entscheide, gegen die ein Rechtsmittel gegeben ist, erwachsen u.a. in Rechtskraft, wenn die Rechtsmittelfrist unbenützt abgelaufen ist ( Art. 437 Abs. 1 lit. a StPO ). Die Frist für die Ergreifung eines Rechtsmittels beginnt mit der Eröffnung des anzufechtenden Entscheids zu laufen ( Art. 90 StPO ). Schriftliche Mitteilungen der Strafbehörden sind durch eingeschriebene Postsendung oder auf andere Weise gegen Empfangsbestätigung zuzustellen ( Art. 85 Abs. 2 StPO ). Dies gilt insbesondere auch für Strafbefehle ( Art. 353 Abs. 3 StPO ; zur Veröffentlichung vorgesehenes Urteil 6B_837/2017 vom 21. März 2018 E. 2.1). Nach konstanter Rechtsprechung obliegt der Behörde die Beweislast für die erfolgte Zustellung und das Datum der Zustellung ( BGE 142 IV 125 E. 4.3 S. 128). Die Behörde trägt somit auch die Konsequenzen eines fehlenden Nachweises, falls die Zustellung bestritten ist ( BGE 129 I 8 E. 2.2 S. 10; 124 V 400 E. 2a S. 402). Der Nachweis der Zustellung wird in aller Regel mit Empfangsbestätigung erbracht. Er kann sich aber auch aus der Zustellfiktion von Art. 85 Abs. 4 StPO ergeben, mit Indizien begründet oder aus der Gesamtheit der Umstände hergeleitet werden. Kann der Strafbefehl nicht zugestellt werden, gilt er auch ohne Veröffentlichung als zugestellt ( Art. 88 Abs. 4 StPO ). Die Zustellfiktion von Art. 88 Abs. 4 StPO erscheint problematisch. Sie gelangt nur zur Anwendung, wenn die Voraussetzungen von Art. 88 Abs. 1 StPO erfüllt sind. Es ist deshalb erforderlich, dass der Aufenthaltsort des Adressaten unbekannt ist und trotz zumutbarer Nachforschungen nicht ermittelt werden kann (lit. a), dass eine Zustellung unmöglich ist oder mit ausserordentlichen Umtrieben verbunden wäre (lit. b) oder dass der Adressat mit Wohnsitz oder gewöhnlichem Aufenthalt im Ausland kein Zustellungsdomizil in der Schweiz bezeichnet hat (lit. c). Bevor sich eine Strafbehörde auf Art. 88 Abs. 4 StPO berufen kann, muss sie in jedem Fall die geeigneten Schritte in die Wege geleitet haben, um den Aufenthaltsort des Adressaten zu ermitteln (Urteil 6B_162/2017 vom 1. Dezember 2017 E. 2.1 und 2.3). Wurde der Strafbefehl nicht gehörig zugestellt, erwächst er nicht in Rechtskraft und kann damit (wie allfällige Anordnungen zum Vollzug von Ersatzfreiheitsstrafen) auch nicht vollzogen werden. Er kann grundsätzlich keine Rechtswirkungen entfalten (zur Veröffentlichung vorgesehenes Urteil 6B_773/2017 vom 21. Februar 2018 E. 2.3).</w:t>
      </w:r>
    </w:p>
    <w:p>
      <w:r>
        <w:rPr>
          <w:b/>
        </w:rPr>
        <w:t>E. 2.3</w:t>
      </w:r>
    </w:p>
    <w:p>
      <w:r>
        <w:t>Der Vollzug von Geldstrafen und Bussen sowie deren Umwandlung in Ersatzfreiheitsstrafen ist im Strafgesetzbuch geregelt. Nach Art. 35 StGB bestimmt die Vollzugsbehörde dem Verurteilten eine Zahlungsfrist. Bezahlt er die Geldstrafe oder Busse (siehe dazu Art. 106 Abs. 5 StGB ) nicht fristgemäss, ordnet die Vollzugsbehörde die Betreibung an, wenn davon ein Ergebnis zu erwarten ist. Soweit der Verurteilte die Geldstrafe oder Busse nicht bezahlt und sie auf dem Betreibungsweg uneinbringlich ist, tritt an deren Stelle eine Freiheitsstrafe ( Art. 36 Abs. 1 StGB ).</w:t>
      </w:r>
    </w:p>
    <w:p>
      <w:r>
        <w:rPr>
          <w:b/>
        </w:rPr>
        <w:t>E. 2.4</w:t>
      </w:r>
    </w:p>
    <w:p>
      <w:r>
        <w:t>Die Vorinstanz verneint ihre Zuständigkeit unter Hinweis darauf, dass es sich bei den den Ersatzfreiheitsstrafen zugrunde liegenden Strafbefehlen um Entscheide ausserkantonaler Strafbehörden handle, welche in Rechtskraft erwachsen seien. Der Beschwerdeführer bestritt im vorinstanzlichen Verfahren, Kenntnis von den Strafbefehlen und den Umwandlungsentscheiden gehabt zu haben. Er bringt auch vor Bundesgericht vor, er sei von den zusätzlichen 542 Tagen Freiheitsstrafe in der Vollzugsanordnung überrascht worden. Er macht damit eine Verletzung seines Anspruchs auf rechtliches Gehör geltend (vgl. Urteil 6B_812/2017 vom 8. Dezember 2017 E. 1.2).</w:t>
      </w:r>
    </w:p>
    <w:p>
      <w:r>
        <w:rPr>
          <w:b/>
        </w:rPr>
        <w:t>E. 2.5</w:t>
      </w:r>
    </w:p>
    <w:p>
      <w:r>
        <w:t>Die Rüge ist berechtigt. Es lässt sich weder dem angefochtenen Entscheid noch dem Vollzugsauftrag entnehmen, wie sich die zu vollziehende Strafe zusammensetzt. Unbestritten sind die 36 Monate Freiheitsentzug aus dem Urteil des Strafgerichts Schwyz vom 24. August 2017. Im Vollzugsauftrag werden Ersatzfreiheitsstrafen aus fünf Strafbefehlen mit einer Dauer von insgesamt 542 Tagen aufgelistet, wovon drei Tage infolge Untersuchungshaft als verbüsst gelten. In der Gesamtübersicht finden sich 36 Monate Freiheitsstrafe aus dem Urteil des Strafgerichts Schwyz sowie zusätzlich 311 Tage Ersatzfreiheitsstrafe, deren Berechnung nicht nachvollzogen werden kann. Unter der Rubrik "Monate" sind 36 Monate aufgeführt; unter der Rubrik "Tage" folgen "U-Haft" -237, "Geldstrafe" 20 und "Busse" 9, was ein "Total" von 331 Tagen ergeben soll. Weiter lässt sich weder aufgrund des angefochtenen Entscheids noch anhand der Akten überprüfen, ob die ursprünglichen fünf Strafbefehle bzw. die im Anschluss daran gefällten Umwandlungsentscheide dem Beschwerdeführer zugestellt wurden. Ebenso fehlen Unterlagen, die dokumentieren könnten, ob und allenfalls wie die zuständigen Vollzugsbehörden versucht haben, die Geldstrafen bzw. Bussen einzutreiben. Es ist deshalb auch nicht bekannt, gestützt auf welche Vorkehren sie die Uneinbringlichkeit im Sinne von Art. 36 Abs. 1 StGB festgestellt haben. Schliesslich finden sich in den Akten auch keine Hinweise, dass der Beschwerdeführer je zum Vollzug der Ersatzfreiheitsstrafen aufgefordert wurde. Im Gegenteil bestehen Indizien dafür, dass weder die Strafbefehle noch die Anordnungen zum Vollzug der Ersatzfreiheitsstrafen dem Beschwerdeführer zugestellt wurden. Der Verfügung der Zentralen Inkassostelle des Kantons Zürich vom 1. Oktober 2014 (Vollzugsakten 4-5) lässt sich jedenfalls entnehmen, dass der Aufenthaltsort des Beschwerdeführers nicht bekannt war und ihm deshalb auch keine Kopie der fraglichen Verfügung zugestellt werden konnte.</w:t>
      </w:r>
    </w:p>
    <w:p>
      <w:r>
        <w:rPr>
          <w:b/>
        </w:rPr>
        <w:t>E. 2.6</w:t>
      </w:r>
    </w:p>
    <w:p>
      <w:r>
        <w:t>Liegt kein Nachweis dafür vor, dass die fünf Strafbefehle und die in der Folge verfügten Anordnungen zum Vollzug der Ersatzfreiheitsstrafen dem Beschwerdeführer rechtsgültig zugestellt wurden, fehlt es an rechtskräftigen Entscheiden, welche den Vollzugsauftrag rechtfertigen könnten. Der angefochtene Entscheid ist deshalb aufzuheben und die Sache zu neuer Beurteilung an die Vorinstanz zurückzuweisen. Die Vorinstanz wird dem Beschwerdeführer für das weitere Verfahren einen Rechtsvertreter zu bestellen haben, da er selber seine Verfahrensinteressen nicht ausreichend wahren kann.</w:t>
      </w:r>
    </w:p>
    <w:p>
      <w:r>
        <w:rPr>
          <w:b/>
        </w:rPr>
        <w:t>E. 3</w:t>
      </w:r>
    </w:p>
    <w:p>
      <w:r>
        <w:t>Es sind keine Gerichtskosten zu erheben (Art. 66 Abs. 1 i.V.m. Abs. 4 BGG). Über eine Parteientschädigung ist nicht zu befinden, da dem Beschwerdeführer keine Kosten aus einer Rechtsvertretung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