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164/2012 vom 7. Juni 2012</w:t>
      </w:r>
    </w:p>
    <w:p>
      <w:r>
        <w:t>Bundesgericht, 2012-06-07, DE</w:t>
      </w:r>
    </w:p>
    <w:p>
      <w:r>
        <w:rPr>
          <w:b/>
        </w:rPr>
        <w:t xml:space="preserve">Quelle: </w:t>
      </w:r>
      <w:r>
        <w:t>https://mcp.opencaselaw.ch/entscheid/bger_6B_164_2012</w:t>
      </w:r>
    </w:p>
    <w:p>
      <w:r>
        <w:t>FR: TF 6B 164/2012 du 7 juin 2012</w:t>
      </w:r>
    </w:p>
    <w:p>
      <w:r>
        <w:t>IT: TF 6B 164/2012 del 7 giugno 2012</w:t>
      </w:r>
    </w:p>
    <w:p>
      <w:pPr>
        <w:pStyle w:val="Heading2"/>
      </w:pPr>
      <w:r>
        <w:t>Regeste</w:t>
      </w:r>
    </w:p>
    <w:p>
      <w:r>
        <w:t>Strafzumessung (mehrfache Rassendiskriminierung, qualifizierte Körperverletzung etc.), Verpflichtung zur Antabuseinnahme | Strafrecht (allgemein)</w:t>
      </w:r>
    </w:p>
    <w:p>
      <w:pPr>
        <w:pStyle w:val="Heading2"/>
      </w:pPr>
      <w:r>
        <w:t>Erwägungen</w:t>
      </w:r>
    </w:p>
    <w:p>
      <w:r>
        <w:rPr>
          <w:b/>
        </w:rPr>
        <w:t>E. 1</w:t>
      </w:r>
    </w:p>
    <w:p>
      <w:r>
        <w:t>Die Beschwerde in Strafsachen hat - wie der Beschwerdeführer selber darlegt - von Gesetzes wegen aufschiebende Wirkung, wenn sie sich gegen einen Entscheid richtet, der eine unbedingte Freiheitsstrafe oder eine freiheitsentziehende Massnahme ausspricht ( Art. 103 Abs. 2 lit. b BGG ). Nicht einzutreten ist auf das Gesuch um aufschiebende Wirkung, da sich dieses ausschliesslich auf die Freiheitsstrafe von 39 Monaten bezieht (vgl. Beschwerde Ziff. II.4. S. 2 f.). Soweit das Gesuch um aufschiebende Wirkung auch den Antrag auf ersatzlose Aufhebung der Verpflichtung zur Antabuseinnahme betrifft, fehlt es in der Beschwerde an einer Begründung.</w:t>
      </w:r>
    </w:p>
    <w:p>
      <w:r>
        <w:rPr>
          <w:b/>
        </w:rPr>
        <w:t>E. 2</w:t>
      </w:r>
    </w:p>
    <w:p>
      <w:r>
        <w:t>Die Beschwerde richtet sich gegen die Strafzumessung.</w:t>
      </w:r>
    </w:p>
    <w:p>
      <w:r>
        <w:rPr>
          <w:b/>
        </w:rPr>
        <w:t>E. 2.1</w:t>
      </w:r>
    </w:p>
    <w:p>
      <w:r>
        <w:t>Der Beschwerdeführer beging die vorliegend zu beurteilenden Straftaten teils vor und teils nach Inkrafttreten des neuen Allgemeinen Teils des Strafgesetzbuches am 1. Januar 2007. Die Vorinstanz wendet in globo neues Recht an, da dieses auf die nach dem 1. Januar 2007 begangenen Delikte zur Anwendung gelangt und das alte Recht, welches gemäss Art. 2 Abs. 1 und 2 StGB allenfalls auf die vor dem 1. Januar 2007 erfolgten Straftaten anwendbar gewesen wäre, für den Beschwerdeführer nicht milder ist. Der Beschwerdeführer schliesst sich dem an.</w:t>
      </w:r>
    </w:p>
    <w:p>
      <w:r>
        <w:rPr>
          <w:b/>
        </w:rPr>
        <w:t>E. 2.2</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rPr>
          <w:b/>
        </w:rPr>
        <w:t>E. 2.3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w:t>
      </w:r>
    </w:p>
    <w:p>
      <w:r>
        <w:rPr>
          <w:b/>
        </w:rPr>
        <w:t>E. 2.4</w:t>
      </w:r>
    </w:p>
    <w:p>
      <w:r>
        <w:t>Der Strafrichter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Alleine einer besseren Begründung wegen hebt das Bundesgericht das angefochtene Urteil nicht auf, solange die Strafzumessung im Ergebnis bundesrechtskonform ist (vgl. BGE 127 IV 101 E. 2c mit Hinweisen).</w:t>
      </w:r>
    </w:p>
    <w:p>
      <w:r>
        <w:rPr>
          <w:b/>
        </w:rPr>
        <w:t>E. 3.1</w:t>
      </w:r>
    </w:p>
    <w:p>
      <w:r>
        <w:t>Die Vorinstanz setzt die Einsatzstrafe für den Angriff vom 24. September 2006 als schwerste Tat auf 10 Monate fest. Diese Strafe erhöht sie aufgrund der weiteren Straftaten in Anwendung des Asperationsprinzips, was eine zweite Einsatzstrafe von 5 ½ Jahren ergibt. Davon gelte ein Anteil von einem Monat als Zusatzstrafe zu den Vorstrafen vom 3. August 2005 und 2. Dezember 2005. Damit würden die Delikte vom 1. August und 25. Oktober 2005 (Rassendiskriminierung; Gewalt und Drohung gegen Beamte) abgegolten. Die Einsatzstrafe von 5 ½ Jahren reduziert sie in Berücksichtigung der mittelgradig verminderten Schuldfähigkeit des Beschwerdeführers auf 3 Jahre. Die so errechnete Strafe erhöht sie angesichts der weiteren, überwiegend straferhöhenden Täterkomponenten auf 39 Monate (Urteil S. 30-35).</w:t>
      </w:r>
    </w:p>
    <w:p>
      <w:r>
        <w:rPr>
          <w:b/>
        </w:rPr>
        <w:t>E. 3.2</w:t>
      </w:r>
    </w:p>
    <w:p>
      <w:r>
        <w:t>Der Beschwerdeführer rügt, die Freiheitsstrafe von 39 Monaten bzw. die Einsatzstrafe von 5 ½ Jahren sei unverhältnismässig hoch und ungenügend begründet. Die Vorinstanz habe dem Asperationsprinzip nicht ausreichend Rechnung getragen. Sie habe sich zu stark an den (hypothetisch) verwirkten bzw. erfüllten Einzelstrafen orientiert, anstatt eine angemessene Erhöhung der Einsatzstrafe von 10 Monaten vorzunehmen. Der vorinstanzlichen Strafzumessung könnten keine tauglichen Hinweise entnommen werden, wie die Gewichtung zur Gesamtstrafe erfolgt sei. Sie erschöpfe sich weitgehend in Ausführungen zum objektiven Tatbestand und enthalte keine Hinweise auf das Verschulden und die Gewichtung. Die weiteren Delikte stünden nicht annäherungsweise in Relation zur Einsatzstrafe von 10 Monaten für den Angriff vom 24. September 2006. Überlegungen zur Resozialisierung bzw. zur gesellschaftlichen Ein- und Wiedereingliederung seien nicht getätigt worden, mit der Ausnahme, dass eigentlich eine stationäre Massnahme indiziert wäre.</w:t>
      </w:r>
    </w:p>
    <w:p>
      <w:r>
        <w:rPr>
          <w:b/>
        </w:rPr>
        <w:t>E. 3.3.1</w:t>
      </w:r>
    </w:p>
    <w:p>
      <w:r>
        <w:t>Die Einsatzstrafe von 5 ½ Jahren ist in Berücksichtigung der objektiven Tatschwere und der Vielzahl von Straftaten keineswegs unverhältnismässig hart. Der Beschwerdeführer beging innert vier Jahren insgesamt zwei Verbrechen und 28 Vergehen. Dabei drohte er in neun Fällen, teilweise massiv mit dem Tod und zumeist gegen Polizeibeamte, in fünf Fällen machte er sich der Rassendiskriminierung strafbar, in weiteren fünf Fällen wegen Vergehens gegen das Waffengesetz und in drei Fällen wegen Körperverletzung. Hinzu kommen zwei Angriffe, die ebenfalls einfache Körperverletzungen zur Folge hatten. Die Vorinstanz weist darauf hin, dass die Körperverletzungen grundlos erfolgten und es teilweise dem Glück zu verdanken ist, dass die Opfer keine schwereren Verletzungen davontrugen (Urteil S. 30 f.). Der Vorinstanz kann nicht vorgeworfen werden, sie habe dem Asperationsprinzip ungenügend Rechnung getragen. Hätte sie die einzelnen Straftaten für sich betrachtet, wäre die Strafe höher ausgefallen. Der angefochtene Entscheid ist ausreichend begründet. Die Einsatzstrafe von 5 ½ Jahren trägt dem objektiven Tatverschulden Rechnung, während die verminderte Schuldfähigkeit und die Täterkomponenten in einem weiteren Schritt berücksichtigt wurden. Bei der Berechnung der Einsatzstrafe von 5 ½ Jahren standen die objektiven Tatumstände im Vordergrund. Die Vorinstanz nimmt hierzu auf die konkreten Umstände Bezug. Nicht erforderlich ist, dass der Sachrichter die Gewichtung der einzelnen Strafzumessungsfaktoren in Zahlen oder in Prozenten wiedergibt ( BGE 136 IV 55 E. 5.6; 127 IV 101 E. 2c). Dies gilt entsprechend für die Gewichtung der im Gesetz genannten Strafschärfungs- und Strafmilderungsgründe (Urteile 6B_372/2011 vom 12. Juli 2011 E. 2.3; 6B_401/2007 vom 8. November 2007 E. 4.2, nicht publ. in BGE 134 IV 132 ). Lediglich bei der retrospektiven Konkurrenz im Sinne von Art. 49 Abs. 2 StGB hat der Richter mittels Zahlenangaben offenzulegen, wie sich die von ihm zugemessene Strafe quotenmässig zusammensetzt ( BGE 132 IV 102 E. 8.3 mit Hinweisen). Die Festsetzung einer zahlenmässigen Einsatzstrafe bei der Bildung der Gesamtstrafe in Anwendung von Art. 49 Abs. 1 StGB ist nicht unter allen Umständen zwingend. Hingegen lässt sich die Gesamtstrafe damit besser nachvollziehen. Dadurch ist feststellbar, in welchem Ausmass die Vorinstanz die Einsatzstrafe infolge Deliktsmehrheit schärft (siehe Urteile 6B_475/2011 vom 30. Januar 2012 E. 1.4.3.1; 6B_524/2010 und 6B_626/2011 vom 8. Dezember 2011 E. 4.4 mit Hinweis). Letzterem trägt die Vorinstanz Rechnung, indem sie im Rahmen von Art. 49 Abs. 1 StGB eine Einsatzstrafe für die schwerste Tat festlegt.</w:t>
      </w:r>
    </w:p>
    <w:p>
      <w:r>
        <w:rPr>
          <w:b/>
        </w:rPr>
        <w:t>E. 3.3.2</w:t>
      </w:r>
    </w:p>
    <w:p>
      <w:r>
        <w:t>Die Strafe von 10 Monaten - vor Berücksichtigung der verminderten Schuldfähigkeit - für den Angriff vom 24. September 2006 erscheint äusserst milde. Die Vorinstanz führt dazu aus, das Opfer sei anlässlich dieses Angriffs von mehreren Rechtsgesinnten grundlos mit Fäusten geschlagen, am Boden liegend mit Füssen getreten und sein Kopf sei gegen eine Schaufensterscheibe geschlagen worden. Es habe sich dabei diverse Prellungen und Schürfungen zugetragen. Es habe unter starken Rücken-, Kiefer- und Kopfschmerzen gelitten und sei für drei Tag arbeitsunfähig gewesen. Später seien Schlafstörungen und Angst in der Öffentlichkeit gefolgt. Es habe sich um einen brutalen und niederträchtigen Angriff auf ein Opfer gehandelt, das dazu keinerlei Anlass gegeben habe und das gegen die Mehrzahl von Angreifern völlig chancenlos gewesen sei. Der Beschwerdeführer habe zwar nicht selber zugeschlagen. Mit dem Filmen der Aktion aus nächster Nähe habe er die Angreifer jedoch angetrieben, sich möglichst in Szene zu setzen. Das Opfer habe ihn als Sprecher und Initiator der Geschehnisse identifiziert. Wer einen Wehrlosen derart malträtiere, nehme einfache Körperverletzungen nicht nur in Kauf, sondern wolle diese auch. Die Beweggründe könnten einzig in einer Machtdemonstration gesucht werden, was sich verschuldensmässig zusätzlich belastend auswirke. Das Delikt sei im Übrigen zu einer Zeit erfolgt, als sich der Beschwerdeführer in der Probezeit von zwei Strafurteilen aus dem Jahre 2005 befunden habe und zusätzlich bereits neue Strafverfahren gegen ihn eingeleitet worden seien (Urteil S. 30). Angesicht dieser Tatumstände muss die 10-monatige Einsatzstrafe als unzulässig milde bezeichnet werden. Dies führt jedoch nicht zur Aufhebung des angefochtenen Entscheids, da das Bundesgericht an das Verbot der reformatio in peius gebunden ist (vgl. Art. 107 Abs. 1 BGG ; BGE 111 IV 51 E. 2 S. 55; Urteil 6B_422/2007 vom 22. Januar 2008 E. 5.4.2) und das Strafmass im Ergebnis nicht zu beanstanden ist, d.h. die Einsatzstrafe von 5 ½ Jahren jedenfalls nicht zu hart ist.</w:t>
      </w:r>
    </w:p>
    <w:p>
      <w:r>
        <w:rPr>
          <w:b/>
        </w:rPr>
        <w:t>E. 3.3.3</w:t>
      </w:r>
    </w:p>
    <w:p>
      <w:r>
        <w:t>Welche zusätzlichen Überlegungen zur Resozialisierung bzw. zur gesellschaftlichen Ein- und Wiedereingliederung die Vorinstanz in die Strafzumessung hätte einfliessen lassen müssen, legt der Beschwerdeführer nicht dar. Unklar ist zudem, wie seine Rüge zu verstehen ist, "das angefochtene Urteil liefere keine Hinweise zu einem eventuellen Ausgleich des verschuldeten Unrechts" (Beschwerde Ziff. 9 S. 7). Darauf ist nicht einzutreten ( Art. 42 Abs. 2 BGG ).</w:t>
      </w:r>
    </w:p>
    <w:p>
      <w:r>
        <w:rPr>
          <w:b/>
        </w:rPr>
        <w:t>E. 4.1</w:t>
      </w:r>
    </w:p>
    <w:p>
      <w:r>
        <w:t>Der Beschwerdeführer wendet ein, die verminderte Schuldfähigkeit hätte in höherem Masse berücksichtigt werden müssen. Der vorinstanzliche Entscheid sei auch in diesem Punkt ungenügend begründet und verletzte Art. 19 Abs. 2 StGB .</w:t>
      </w:r>
    </w:p>
    <w:p>
      <w:r>
        <w:rPr>
          <w:b/>
        </w:rPr>
        <w:t>E. 4.2</w:t>
      </w:r>
    </w:p>
    <w:p>
      <w:r>
        <w:t>Gemäss Art. 19 Abs. 2 StGB mildert das Gericht die Strafe, wenn der Täter zur Zeit der Tat nur teilweise fähig war das Unrecht seiner Tat einzusehen oder gemäss dieser Einsicht zu handeln. Die Verminderung der Schuldfähigkeit führt nach neuerer Rechtsprechung entgegen dem Wortlaut des Gesetzes nicht zu einer Herabsetzung der Strafe, sondern bewirkt lediglich eine Reduktion des Verschuldens. Sie stellt eines von mehreren Kriterien für die Beurteilung des Tatverschuldens dar und führt nicht zu einer rein mathematischen Reduktion der Einsatzstrafe (vgl. BGE 136 IV 55 E. 5.5 und 5.6).</w:t>
      </w:r>
    </w:p>
    <w:p>
      <w:r>
        <w:rPr>
          <w:b/>
        </w:rPr>
        <w:t>E. 4.3</w:t>
      </w:r>
    </w:p>
    <w:p>
      <w:r>
        <w:t>Die Vorinstanz geht von einer mittelgradig verminderten Schuldfähigkeit aus (Urteil S. 32). Dem trägt sie im Umfang von 2 ½ Jahren Rechnung, was nicht zu beanstanden ist. Der Entscheid ist ausreichend begründet.</w:t>
      </w:r>
    </w:p>
    <w:p>
      <w:r>
        <w:rPr>
          <w:b/>
        </w:rPr>
        <w:t>E. 5.1</w:t>
      </w:r>
    </w:p>
    <w:p>
      <w:r>
        <w:t>Der Beschwerdeführer beanstandet, die Vorinstanz habe zu Unrecht Einsicht und Reue verneint und sein Nachtatverhalten nicht zu seinen Gunsten berücksichtigt. Sie habe nicht ansatzweise zur Kenntnis genommen, dass er trotz oder innerhalb seiner psychischen Störung eine persönliche Entwicklung vollzogen und Differenzierungen in seinem Denken etabliert habe, welche eindeutig als Abstand insbesondere von Gewalttaten und von Straftaten allgemein zu verzeichnen seien. Die Vorinstanz führe die Straffreiheit in der längeren Freiheitsphase willkürlich einzig auf die Sicherheitshaft und die Antabuseinnahme zurück. Sie stelle sein rechtslastiges Gedankengut als solches unter Strafe und werte das Fernbleiben von der Skinhead-Szene in keiner Weise positiv.</w:t>
      </w:r>
    </w:p>
    <w:p>
      <w:r>
        <w:rPr>
          <w:b/>
        </w:rPr>
        <w:t>E. 5.2</w:t>
      </w:r>
    </w:p>
    <w:p>
      <w:r>
        <w:t>Das Gericht mildert die Strafe, wenn der Täter aufrichtige Reue betätigt, namentlich den Schaden, soweit es ihm zuzumuten war, ersetzt hat ( Art. 48 lit. d StGB ). Einen entsprechenden Strafmilderungsgrund macht der Beschwerdeführer zu Recht nicht geltend.</w:t>
      </w:r>
    </w:p>
    <w:p>
      <w:r>
        <w:rPr>
          <w:b/>
        </w:rPr>
        <w:t>E. 5.3</w:t>
      </w:r>
    </w:p>
    <w:p>
      <w:r>
        <w:t>Ob die Straffreiheit von rund 1 ½ Jahren seit der Entlassung aus der Sicherheitshaft bis zum vorinstanzlichen Urteil auf die Haft und die Antabuseinnahme oder - wie vom Beschwerdeführer behauptet - auf eine unabhängig davon erfolgte Sinnesänderung zurückzuführen ist, ist für die rechtliche Beurteilung unerheblich. Die Straffreiheit während des hängigen Verfahrens ist, wie auch die Vorstrafenlosigkeit ( BGE 136 IV 1 E. 2.6), nach der Rechtsprechung grundsätzlich nicht strafmindernd, sondern neutral zu werten (Urteile 6B_572/2010 vom 18. November 2010 E. 4.4; 6B_87/2010 vom 17. Mai 2010 E. 5.4; je mit Hinweisen). Dies muss vorliegend umso mehr gelten, als der Beschwerdeführer im Zeitpunkt des vorinstanzlichen Urteils nur relativ kurze Zeit straffrei war. Unbegründet ist der Einwand des Beschwerdeführers, sein rechtslastiges Gedankengut werde als solches unter Strafe gestellt. Die Vorinstanz führt vielmehr aus, der Beschwerdeführer zeige kaum echte Einsicht und Reue, schon gar nicht in sein rechtswidriges rassistisches Verhalten. Dies sei aber - ebenso wie die Vorstrafen - auch auf seine psychiatrische Erkrankung zurückzuführen, was die straferhöhende Auswirkung dieser Umstände relativiere (Urteil S. 34).</w:t>
      </w:r>
    </w:p>
    <w:p>
      <w:r>
        <w:rPr>
          <w:b/>
        </w:rPr>
        <w:t>E. 6.1</w:t>
      </w:r>
    </w:p>
    <w:p>
      <w:r>
        <w:t>Der Beschwerdeführer macht geltend, die Verpflichtung zur Einnahme von Antabus sei unverhältnismässig und verletze Art. 10 Abs. 2 BV . Er habe nicht dank der Einnahme von Antabus mit dem Delinquieren aufgehört, sondern aufgrund einer Sinnesänderung. Er gelte gemäss dem Gutachten vom 21. November 2008 als unbehandelbar. Dies stehe im Widerspruch zur vorinstanzlichen Aussage, er sei dank Antabus nicht mehr straffällig geworden.</w:t>
      </w:r>
    </w:p>
    <w:p>
      <w:r>
        <w:rPr>
          <w:b/>
        </w:rPr>
        <w:t>E. 6.2</w:t>
      </w:r>
    </w:p>
    <w:p>
      <w:r>
        <w:t>Gemäss § 219 der vorliegend noch anwendbaren Strafprozessordnung des Kantons Solothurn vom 7. Juni 1970 kann das Gericht, welches das Urteil erlassen hat, einen Verurteilten zur Sicherung des Vollzugs in Haft nehmen, wenn eine unbedingte Freiheitsstrafe von mehr als 6 Monaten ausgesprochen wurde. Bei Beschwerden, die gestützt auf das Recht der persönlichen Freiheit ( Art. 10 Abs. 2 BV )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mit Hinweis).</w:t>
      </w:r>
    </w:p>
    <w:p>
      <w:r>
        <w:rPr>
          <w:b/>
        </w:rPr>
        <w:t>E. 6.3</w:t>
      </w:r>
    </w:p>
    <w:p>
      <w:r>
        <w:t>Die Vorinstanz geht beim Beschwerdeführer von einer hohen Rückfallgefahr auch für schwere Delikte aus (Urteil S. 42 und 45 f.). Die Anordnung von Sicherheitshaft bzw. von Ersatzmassnahmen für den Verzicht auf die Sicherheitshaft war daher gerechtfertigt. Soweit der Beschwerdeführer sinngemäss vorbringt, von ihm gehe keine Gefahr mehr aus, ist er nicht zu hören, da er sich mit der Sachverhaltsfeststellung der Vorinstanz nicht auseinandersetzt und nicht darlegt, weshalb diese willkürlich eine hohe Wiederholungsgefahr bejaht haben soll.</w:t>
      </w:r>
    </w:p>
    <w:p>
      <w:r>
        <w:rPr>
          <w:b/>
        </w:rPr>
        <w:t>E. 7</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