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6B_163/2018 vom 15. Mai 2019</w:t>
      </w:r>
    </w:p>
    <w:p>
      <w:r>
        <w:t>Bundesgericht, 2019-05-15, DE</w:t>
      </w:r>
    </w:p>
    <w:p>
      <w:r>
        <w:rPr>
          <w:b/>
        </w:rPr>
        <w:t xml:space="preserve">Quelle: </w:t>
      </w:r>
      <w:r>
        <w:t>https://mcp.opencaselaw.ch/entscheid/bger_6B_163_2018</w:t>
      </w:r>
    </w:p>
    <w:p>
      <w:r>
        <w:t>FR: TF 6B_163/2018 du 15 mai 2019</w:t>
      </w:r>
    </w:p>
    <w:p>
      <w:r>
        <w:t>IT: TF 6B_163/2018 del 15 maggio 2019</w:t>
      </w:r>
    </w:p>
    <w:p>
      <w:pPr>
        <w:pStyle w:val="Heading2"/>
      </w:pPr>
      <w:r>
        <w:t>Erwägungen</w:t>
      </w:r>
    </w:p>
    <w:p>
      <w:r>
        <w:rPr>
          <w:b/>
        </w:rPr>
        <w:t>E. 1.1</w:t>
      </w:r>
    </w:p>
    <w:p>
      <w:r>
        <w:t>Die Beschwerdeberechtigung richtet sich nach Art. 81 Abs. 1 lit. a und b Ziff. 5 BGG. Die Privatklägerschaft ist zur Beschwerde legitimiert,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Als Privatklägerschaft gilt die geschädigte Person, die ausdrücklich die Absicht ihrer Beteiligung am Strafverfahren als Straf- oder Zivilklägerin erklärt hat ( Art. 118 Abs. 1 StPO ). Geschädigt ist, wer durch die Straftat in seinen Rechten unmittelbar verletzt worden ist, das heisst wer Träger des durch die verletzte Strafnorm geschützten oder zumindest mitgeschützten Rechtsguts ist ( Art. 115 Abs. 1 StPO ; BGE 143 IV 77 E. 2.2 S. 78).</w:t>
      </w:r>
    </w:p>
    <w:p>
      <w:r>
        <w:t>Richtet sich die Beschwerde gegen die Einstellung oder Nichtanhandnahme eines Verfahrens, hat die Privatklägerschaft nicht notwendigerweise bereits vor den kantonalen Behörden Zivilansprüche geltend gemacht. Selbst wenn sie schon adhäsionsweise privatrechtliche Ansprüche geltend gemacht hat, werden in der Einstellungs- bzw. Nichtanhandnahmeverfügung keine Zivilklagen behandelt (Art. 320 Abs. 3 i.V.m. Art. 310 Abs. 2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w:t>
      </w:r>
    </w:p>
    <w:p>
      <w:r>
        <w:t>Nach ständiger Rechtsprechung können öffentlich-rechtliche Ansprüche, auch solche aus öffentlichem Staatshaftungsrecht, nicht adhäsionsweise im Strafprozess geltend gemacht werden und zählen nicht zu den Zivilansprüchen im Sinne von Art. 81 Abs. 1 lit. b Ziff. 5 BGG ( Art. 119 Abs. 2 lit. b StPO ; BGE 131 I 455 E. 1.2.4; Urteile 6B_263/2018 vom 24. Januar 2019 E. 1.1.1; 6B_1200/2017 vom 4. Juni 2018 E. 2.4.1; 6B_1344/2017 vom 8. März 2018 E. 3; je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 in der Sache nicht legitimierter Beschwerdeführer kann weder die Beweiswürdigung kritisieren noch geltend machen, die Begründung sei materiell unzutreffend ( BGE 136 IV 41 E. 1.4 S. 44; 135 II 430 E. 3.2 S. 436 f.; je mit Hinweisen). Er kann vorbringen, auf ein Rechtsmittel sei zu Unrecht nicht eingetreten worden, er sei nicht angehört worden, er habe keine Gelegenheit erhalten, Beweisanträge zu stellen, oder er habe keine Einsicht in die Akten nehmen können (sog. "Star-Praxis"; BGE 141 IV 1 E. 1.1 S. 5; 138 IV 78 E. 1.3 S. 79 f.; je mit Hinweisen).</w:t>
      </w:r>
    </w:p>
    <w:p>
      <w:r>
        <w:rPr>
          <w:b/>
        </w:rPr>
        <w:t>E. 1.2</w:t>
      </w:r>
    </w:p>
    <w:p>
      <w:r>
        <w:t>Zur ihrer Beschwerdelegitimation macht die Beschwerdeführerin Folgendes geltend:</w:t>
      </w:r>
    </w:p>
    <w:p>
      <w:r>
        <w:t>In Bezug auf die Einstellung der Strafuntersuchung gegen den Beschwerdegegner 3 seien die Voraussetzungen von Art. 81 Abs. 1 lit. b Ziff. 5 BGG erfüllt. Die Delikte, welche die Beschwerdeführerin diesem vorwerfe, stellten eine unerlaubte Handlung im Sinne von Art. 41 OR dar. Sie habe gegenüber dem Beschwerdegegner 3 diverse Schadenersatz- und Genugtuungsansprüche.</w:t>
      </w:r>
    </w:p>
    <w:p>
      <w:r>
        <w:t>Betreffend die Einstellung der Strafuntersuchung gegen die Beschwerdegegnerin 2 als Amtsperson ergebe sich die Legitimation aufgrund der Star-Praxis. Die Beschwerdeführerin macht eine Verletzung von Verfahrensrechten gel tend. Die Beschwerdegegnerin 2 habe in den Ausstand treten müssen, nachdem ihre Voreingenommenheit aufgrund von Vorverurteilungen im Gesuch um Telefonüberwachung vom 5. März 2010 bekannt geworden sei. Die Vorinstanz habe sich mit ihren Rügen nicht auseinandergesetzt und den Grundsatz in dubio pro duriore verletzt. Sie, die Beschwerdeführerin, sei in der Untersuchung gegen die Beschwerdegegner 2 und 3 kein einziges Mal befragt worden, wodurch ihr Anspruch auf rechtliches Gehör verletzt worden sei.</w:t>
      </w:r>
    </w:p>
    <w:p>
      <w:r>
        <w:rPr>
          <w:b/>
        </w:rPr>
        <w:t>E. 1.3</w:t>
      </w:r>
    </w:p>
    <w:p>
      <w:r>
        <w:t>Es ist nicht ersichtlich, inwiefern sich der angefochtene Beschluss auf Zivilforderungen der Beschwerdeführerin gegen den Beschwerdegegner 3 auswirken könnte. Die von ihr geltend gemachten, angeblich noch vor Bewilligung der amtlichen Verteidigung angefallenen Verteidigungskosten im gegen sie gerichteten und sistierten Strafverfahren sind Gegenstand jenes und nicht des vorliegenden Verfahrens. Die Beschwerdeführerin legt zudem nicht hinreichend dar, dass jenes Strafverfahren und die behaupteten über die amtliche Verteidigung hinaus gehenden Verteidigungskosten aufgrund angeblich unerlaubter Handlungen des Beschwerdegegners 3 verursacht wurden. Die Vorinstanz stellt für das Bundesgericht vielmehr verbindlich fest (vgl. Art. 105 Abs. 1 BGG ), dass die Beschwerdeführerin im deliktsrelevanten Zeitraum als Treuhänderin Kontakt zum Beschwerdegegner 3 hatte, ihm u.a. eine Bestätigung zur Einfuhr von Bargeld ausstellte und Z.________ im entsprechenden Verfahren in Österreich wegen Betäubungsmitteldelikten aussagte, sie habe alles Finanzielle für den Beschwerdegegner 3 abgewickelt (angefochtener Beschluss, E. I. 1.1 S. 3). Auch die von der Beschwerdeführerin im Zusammenhang mit dem gegen sie gerichteten Strafverfahren geltend gemachten und nicht näher begründeten Krankheitskosten, verminderte wirtschaftliche Leistungsfähigkeit sowie den anwaltlichen Aufwand gegen die von B.________ in jenem Verfahren adhäsionsweise geltend gemachten Forderung von Fr. 500'000.-- sind nicht Gegenstand des vorliegenden Verfahrens. Ein aus zu Unrecht erstandener Haft resultierender Anspruch auf Genugtuung wäre darüber hinaus nicht etwa durch den Beschwerdegegner 3, sondern durch die Staatskasse zu befriedigen, weshalb auch insoweit keine Zivilforderung erkennbar ist. Die angeblich bis 18. Mai 2015 von der Beschwerdeführerin selber getragenen Kosten für die Strafanzeige gegen die Beschwerdegegner 2 und 3 stellen ebenso wenig eine Zivilforderung dar, ansonsten jeder anzeigende Privatkläger zur Beschwerde in der Sache legitimiert wäre.</w:t>
      </w:r>
    </w:p>
    <w:p>
      <w:r>
        <w:t>Inwiefern sich der angefochtene Entscheid auf welche Zivilforderungen auswirken könnte, ergibt sich ferner auch nicht ohne Weiteres aus der Natur der von der Beschwerdeführerin beanzeigten Straftaten. Die geltend gemachte Veruntreuung beging der Beschwerdegegner 3 nach ihrer Darstellung nicht etwa zu ihrem Nachteil, sondern zu demjenigen von B.________.</w:t>
      </w:r>
    </w:p>
    <w:p>
      <w:r>
        <w:t>Zur Begründung ihrer Legitimation betreffend die Einstellung des Strafverfahrens gegen die Beschwerdegegnerin 2 als Staatsanwältin wiederholt die Beschwerdeführerin weitgehend die von ihr erhobenen Vorwürfe strafbaren Verhaltens. Diese Umstände seien von einem neutralen Sachgericht mit umfassender Kognition und nicht von der Vorinstanz mit beschränkter Befugnis zu prüfen. Dabei handelt es sich um keine formellen Rügen, zu welchen die Beschwerdeführerin unbesehen der fehlenden Legitimation mangels möglicher gegen eine Amtsperson des Kantons Zürich bestehender Zivilansprüche im Sinne von Art. 81 Abs. 1 lit. b Ziff. 5 BGG in der Sache befugt wäre. Zwar behauptet die Beschwerdeführerin auch eine Verletzung ihres Anspruchs auf rechtliches Gehör. Sie begründet dies jedoch damit, dass die Vorinstanz den Grundsatz in dubio pro duriore verletzt habe und sich mit den Rügen nicht auseinandergesetzt habe, wonach die Beschwerdegegnerin 2 diverse Pflichten und Ansprüche verletzt habe. Solche Vorbringen betreffen Fragen materieller Natur und begründen nach dem Gesagten keine Legitimation zur Beschwerde.</w:t>
      </w:r>
    </w:p>
    <w:p>
      <w:r>
        <w:t>Die Beschwerdeführerin bestreitet sodann nicht, dass sie vom Inhalt der Einstellungsverfügungen Kenntnis erhielt und diese vorinstanzlich anfechten konnte. Eine Verletzung des rechtlichen Gehörs oder eine formelle Rechtsverweigerung ist nicht ersichtlich. Dass die Beschwerdeführerin in der Untersuchung gegen die Beschwerdegegner 2 und 3 nicht mündlich befragt worden sei, ändert daran nichts. Mangels Ausschöpfen des Instanzenzugs von vornherein nicht zu hören sind schliesslich ihre Vorbringen, welche sich gegen das Verhalten der Beschwerdegegnerin 2 im von dieser gegen die Beschwerdeführerin geführten Strafverfahren richten. Die Beschwerdeführerin verkennt auch diesbezüglich, dass das gegen sie gerichtete Strafverfahren nicht Gegenstand des vorliegend angefochtenen Entscheids ist.</w:t>
      </w:r>
    </w:p>
    <w:p>
      <w:r>
        <w:t>Dass die Vorinstanz auf das von ihr erhobene Rechtsmittel zu Unrecht teilweise nicht eingetreten sei, rügt die Beschwerdeführerin nicht. Damit ist die Beschwerdeführerin vor Bundesgericht nicht zur Beschwerde legitimiert.</w:t>
      </w:r>
    </w:p>
    <w:p>
      <w:r>
        <w:rPr>
          <w:b/>
        </w:rPr>
        <w:t>E. 2</w:t>
      </w:r>
    </w:p>
    <w:p>
      <w:r>
        <w:t>Auf die Beschwerde ist nicht einzutreten. Ausgangsgemäss trägt die Beschwerdeführerin die Gerichtskosten, zumal ihr Gesuch um unentgeltliche Rechtspflege infolge Aussichtslosigkeit abzuweisen ist. Ihren finanziellen Verhältnissen ist bei der Kostenbemessung Rechnung zu tragen (Art. 64 Abs. 1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