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6B_162/2020 vom 26. Februar 2020</w:t>
      </w:r>
    </w:p>
    <w:p>
      <w:r>
        <w:t>Bundesgericht, 2020-02-26, DE</w:t>
      </w:r>
    </w:p>
    <w:p>
      <w:r>
        <w:rPr>
          <w:b/>
        </w:rPr>
        <w:t xml:space="preserve">Quelle: </w:t>
      </w:r>
      <w:r>
        <w:t>https://mcp.opencaselaw.ch/entscheid/bger_6B_162_2020</w:t>
      </w:r>
    </w:p>
    <w:p>
      <w:r>
        <w:t>FR: TF 6B_162/2020 du 26 février 2020</w:t>
      </w:r>
    </w:p>
    <w:p>
      <w:r>
        <w:t>IT: TF 6B_162/2020 del 26 febbraio 2020</w:t>
      </w:r>
    </w:p>
    <w:p>
      <w:pPr>
        <w:pStyle w:val="Heading2"/>
      </w:pPr>
      <w:r>
        <w:t>Erwägungen</w:t>
      </w:r>
    </w:p>
    <w:p>
      <w:r>
        <w:rPr>
          <w:b/>
        </w:rPr>
        <w:t>E. 1</w:t>
      </w:r>
    </w:p>
    <w:p>
      <w:r>
        <w:t>Die Oberstaatsanwaltschaft verfügte am 11. September 2019, eine vom Beschwerdeführer im Zusammenhang mit einem Zivilverfahren erhobene Strafanzeige gegen den Präsidenten des Bezirksgerichts Laufenburg nicht an die Hand zu nehmen. Eine dagegen gerichtete Beschwerde wies das Obergericht des Kantons Aargau am 9. Januar 2020 ab, soweit es darauf eintrat.</w:t>
      </w:r>
    </w:p>
    <w:p>
      <w:r>
        <w:t>Der Beschwerdeführer wendet sich an das Bundesgericht.</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t>Der Privatklägerschaft wird ein rechtlich geschütztes Interesse an der Beschwerde zuerkannt, wenn sich der angefochtene Entscheid auf die Beurteilung ihrer Zivilansprüche auswirken kann (Art. 81 Abs. 1 lit. b Ziff. 5 BGG; BGE 141 IV 1 E. 1.1). Die beschwerdeführende Partei hat im bundesgerichtlichen Verfahren ihre Beschwerdelegitimation darzulegen. Das Bundesgericht stellt an die Begründung der Legitimation der Privatklägerschaft strenge Anforderungen ( BGE 141 IV 1 E. 1.1 mit Hinweisen).</w:t>
      </w:r>
    </w:p>
    <w:p>
      <w:r>
        <w:rPr>
          <w:b/>
        </w:rPr>
        <w:t>E. 3</w:t>
      </w:r>
    </w:p>
    <w:p>
      <w:r>
        <w:t>Der Beschwerdeführer äussert sich in seiner Eingabe nicht zu seiner Legitimation als Privatkläger, die vorliegend auch nicht gegeben ist. Aus dem zur Anzeige gebrachten Sachverhalt kann der Beschwerdeführer keine Zivilforderungen im Sinne von Art. 81 Abs. 1 lit. b Ziff. 5 BGG geltend machen, weil sich allfällige Schadenersatz- und Genugtuungsansprüche gegen den beschuldigten Gerichtspräsidenten einzig nach dem kantonalen Haftungsgesetz beurteilen (vgl. § 1 Abs. 1 ff. des Haftungsgesetzes vom 24. März 2009 [Haftungsgesetz/AG; SAR 150.200]; § 75 der kantonalen Verfassung vom 25. Juni 1980 [SAR 110.000]) und somit öffentlich-rechtlicher Natur sind. Öffentlich-rechtliche Ansprüche, auch solche aus Staatshaftung, können jedoch nicht adhäsionsweise im Strafprozess geltend gemacht werden ( BGE 131 I 455 E. 1.2.4 S. 461; Urteil 6B_514/2017 vom 18. Mai 2017 E. 2). Der Beschwerdeführer ist folglich in der Sache nicht zur Beschwerde legitimiert.</w:t>
      </w:r>
    </w:p>
    <w:p>
      <w:r>
        <w:rPr>
          <w:b/>
        </w:rPr>
        <w:t>E. 4</w:t>
      </w:r>
    </w:p>
    <w:p>
      <w:r>
        <w:t>Formelle Rügen, zu deren Geltendmachung er unbesehen um die fehlende Legitimation in der Sache befugt wäre (sog. "Star-Praxis"; vgl. BGE 141 IV 1 E. 1.1 mit Hinweisen), erhebt der Beschwerdeführer nicht. Zwar ruft er mehrere Bestimmungen der Bundesverfassung (Art. 5, 7, 9 sowie 29 BV) an und rügt sein Grundrecht der Menschenwürde als verletzt. Seine Vorbringen beziehen sich indessen auf das Verhalten/Vorgehen des beschuldigten Gerichtspräsidenten im fraglichen Zivilverfahren und zielen auf die Rechtmässigkeit der Nichtanhandnahme, d.h. auf eine Überprüfung in der Sache selbst ab, was unzulässig ist. Abgesehen davon genügten seine Vorbringen den erhöhten Begründungsanforderungen ("darzulegen, inwiefern der angefochtene Entscheid Recht verletzt"; Art. 106 Abs. 2 BGG ; BGE 141 IV 249 E. 1.3.1 ; 139 I 229 E. 2.2; je mit Hinweisen) nicht.</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