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6B_161/2018 vom 2. August 2018</w:t>
      </w:r>
    </w:p>
    <w:p>
      <w:r>
        <w:t>Bundesgericht, 2018-08-02, FR</w:t>
      </w:r>
    </w:p>
    <w:p>
      <w:r>
        <w:rPr>
          <w:b/>
        </w:rPr>
        <w:t xml:space="preserve">Quelle: </w:t>
      </w:r>
      <w:r>
        <w:t>https://mcp.opencaselaw.ch/entscheid/bger_6B_161_2018</w:t>
      </w:r>
    </w:p>
    <w:p>
      <w:r>
        <w:t>FR: TF 6B_161/2018 du 2 août 2018</w:t>
      </w:r>
    </w:p>
    <w:p>
      <w:r>
        <w:t>IT: TF 6B_161/2018 del 2 agosto 2018</w:t>
      </w:r>
    </w:p>
    <w:p>
      <w:pPr>
        <w:pStyle w:val="Heading2"/>
      </w:pPr>
      <w:r>
        <w:t>Erwägungen</w:t>
      </w:r>
    </w:p>
    <w:p>
      <w:r>
        <w:rPr>
          <w:b/>
        </w:rPr>
        <w:t>E. 1</w:t>
      </w:r>
    </w:p>
    <w:p>
      <w:r>
        <w:t>S'agissant de la qualité pour recourir de la recourante au Tribunal fédéral, on peut se référer à ce qui a déjà été dit dans l'arrêt précédemment rendu, qui l'admet (arrêt 6B_289/2017 précité consid. 1).</w:t>
      </w:r>
    </w:p>
    <w:p>
      <w:r>
        <w:rPr>
          <w:b/>
        </w:rPr>
        <w:t>E. 2</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 sur la notion d'arbitraire cf. ATF 143 IV 241 consid. 2.3.1 p. 244; 140 I 201 consid. 6.1 p. 205), et si la correction du vice est susceptible d'influer sur le sort de la cause ( art. 97 al. 1 LTF ). Le grief d'arbitraire doit être invoqué et motivé de manière précise ( art. 106 al. 2 LTF ). La partie recourante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(cf. ATF 134 II 349 consid. 3 p. 351 s.; 133 IV 286 ). Les critiques de nature appellatoire sont irrecevables ( ATF 142 III 364 consid. 2.4 p. 368 et les références citées).</w:t>
      </w:r>
    </w:p>
    <w:p>
      <w:r>
        <w:t>La recourante débute ses écritures par une présentation personnelle des faits et un résumé de la procédure. De la sorte, elle ne cherche pas à démontrer que les faits auraient été établis arbitrairement et ne formule ainsi aucun grief recevable au regard des art. 42 al. 2 et 106 al. 2 LTF.</w:t>
      </w:r>
    </w:p>
    <w:p>
      <w:r>
        <w:rPr>
          <w:b/>
        </w:rPr>
        <w:t>E. 3</w:t>
      </w:r>
    </w:p>
    <w:p>
      <w:r>
        <w:t>La recourante invoque ensuite un déni de justice formel et une violation de son droit d'être entendue pour le motif que la cour cantonale n'a pas ordonné l'audition des proches de feu C.________, H.________ et I.________, mesure d'instruction prétendument susceptible d'établir son droit de propriété sur le véhicule en cause.</w:t>
      </w:r>
    </w:p>
    <w:p>
      <w:r>
        <w:rPr>
          <w:b/>
        </w:rPr>
        <w:t>E. 3.1</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3.2</w:t>
      </w:r>
    </w:p>
    <w:p>
      <w:r>
        <w:t>La cour cantonale, se fondant sur les constatations opérées par le Tribunal fédéral dans son arrêt du 24 août 2017, a jugé que la recourante n'avait jamais acquis la voiture D.________ et qu'il n'était pas établi qu'une chose mobilière appartenant à feu C.________, respectivement à ses héritiers, avait été soustraite. En effet, la voiture avait été remise en juillet 2010 à G.________, mandataire de B.________ Limited, et à F.________, bénéficiaire économique de cette société. C'étaient donc bien les représentants de la société propriétaire du véhicule qui avaient repris possession de ce dernier. Comme elle l'avait déjà relevé dans sa décision du 18 janvier 2017, l'infraction dénoncée par la recourante et les hoirs de C.________ s'inscrivait dans le cadre plus large de la tentative de l'hoirie de réintégrer dans la masse successorale les biens dont le de cujus aurait disposé par le biais de montages financiers et par l'intermédiaire d'hommes de paille. Il incombait alors à l'hoirie de supporter les conséquences de l'apparence juridique créée par le défunt, celui-ci n'apparaissant pas être le propriétaire de la voiture et les hoirs ne présentant pas un quelconque indice contribuant à établir que ce dernier était bien le seul véritable propriétaire indirect des avoirs de la société B.________ Limited et que F.________ était soumis, après son décès, à une obligation de transférer ses biens à ses héritiers. L'autorité précédente a ainsi refusé d'entendre les anciens amis du de cujus, au motif qu'elle ne voyait pas en quoi leur audition par voie de commission rogatoire pourrait apporter des certitudes sur ce point déterminant. Même si ces personnes devaient déclarer que la voiture D.________ lui appartenait, le doute subsisterait inéluctablement à cet égard, car ces proches ne pourraient s'exprimer que sur des apparences et non sur les détails fiables du patrimoine occulte de l'intéressé. La recourante et les hoirs de feu C.________ ne prétendaient d'ailleurs nullement que les deux intéressés - ou une autre personne - auraient fait partie des conseillers financiers du défunt, ce qui renforçait la conviction qu'ils ne pourraient pas apporter des informations déterminantes à cet égard.</w:t>
      </w:r>
    </w:p>
    <w:p>
      <w:r>
        <w:rPr>
          <w:b/>
        </w:rPr>
        <w:t>E. 3.3</w:t>
      </w:r>
    </w:p>
    <w:p>
      <w:r>
        <w:t>La recourante se contente d'alléguer que les témoins dont l'audition a été requise auraient été en " mesure de s'exprimer " sur les biens du de cujus dès lors qu'ils auraient été particulièrement proches de ce dernier tout au long de sa vie. Ce faisant, la recourante ne démontre pas en quoi la non-administration de cette preuve procédait d'une appréciation insoutenable, ce qui n'apparaît au demeurant pas être le cas, compte tenu des autres éléments mis en évidence par l'autorité précédente (cf. infra consid. 4.3).</w:t>
      </w:r>
    </w:p>
    <w:p>
      <w:r>
        <w:rPr>
          <w:b/>
        </w:rPr>
        <w:t>E. 4</w:t>
      </w:r>
    </w:p>
    <w:p>
      <w:r>
        <w:t>La recourante se plaint d'une constatation manifestement inexacte des faits, de la violation des art. 382, 118 et 115 CPP ainsi que de l' art. 319 CPP et du principe " in dubio pro duriore ".</w:t>
      </w:r>
    </w:p>
    <w:p>
      <w:r>
        <w:rPr>
          <w:b/>
        </w:rPr>
        <w:t>E. 4.1</w:t>
      </w:r>
    </w:p>
    <w:p>
      <w:r>
        <w:t>Selon l' art. 382 al. 1 CPP , toute partie qui a un intérêt juridiquement protégé à l'annulation ou à la modification d'une décision a qualité pour recourir contre celle-ci. L' art. 104 al. 1 let. b CPP précise que la qualité de partie est reconnue à la partie plaignante.</w:t>
      </w:r>
    </w:p>
    <w:p>
      <w:r>
        <w:t>On entend par partie plaignante le lésé qui déclare expressément vouloir participer à la procédure pénale comme demandeur au pénal ou au civil ( art. 118 al. 1 CPP ). Le lésé est celui dont les droits ont été touchés directement par une infraction ( art. 115 al. 1 CPP ).</w:t>
      </w:r>
    </w:p>
    <w:p>
      <w:r>
        <w:rPr>
          <w:b/>
        </w:rPr>
        <w:t>E. 4.2</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 in dubio pro duriore " découle du principe de la légalité ( art. 5 al. 1 Cst. et art.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190 consid 4.1; cf. également arrêt 6B_1098/2017 du 5 avril 2018 consid. 4.1).</w:t>
      </w:r>
    </w:p>
    <w:p>
      <w:r>
        <w:rPr>
          <w:b/>
        </w:rPr>
        <w:t>E. 4.3</w:t>
      </w:r>
    </w:p>
    <w:p>
      <w:r>
        <w:t>La recourante soutient en substance que la cour cantonale aurait déduit de façon erronée de l'arrêt du Tribunal fédéral qu'elle n'était pas propriétaire du véhicule soustrait et que celui-ci appartenait à la société B.________ Limited. Elle fait valoir que la validité du document du 19 avril 1988, dont la production ne suffirait pas à prouver la propriété du véhicule, serait douteuse, car contraire au droit de l'Etat de New York, que le prix de vente de 10 USD serait manifestement inadéquat au regard de la valeur du véhicule, respectivement qu'aucune preuve matérielle résultant du dossier ne viendrait corroborer la version retenue par la cour cantonale, selon laquelle F.________ serait le bénéficiaire économique de B.________ Limited; le témoignage sur ce point de G.________, entendu en qualité de partie appelée à donner des renseignements, qui aurait participé à la soustraction du véhicule, ne pouvant revêtir une force probante telle qu'il suffirait à lui seul à prouver ce fait. De plus, la location du box dans lequel était entreposé le véhicule aurait été facturée à un nom identique à ceux des parties plaignantes. Enfin, tous les documents personnels du défunt auraient été subtilisés à son domicile et ce serait dans un contexte de " soupçons d'appropriation de l'ensemble du patrimoine du de cujus " que le véhicule litigieux aurait été soustrait par F.________. De la sorte, l'argumentation de la recourante relève d'une libre discussion des faits et des preuves, celle-ci se contentant d'opposer sa propre appréciation à celle de la cour cantonale sans démontrer en quoi celle-ci serait arbitraire. La recourante se prévaut en outre d'éléments qui n'ont pas été retenus ou jugés décisifs par l'autorité précédente, sans exposer l'arbitraire dans leur omission ou appréciation. Son argumentation se réduit à une pure critique appellatoire et partant, est irrecevable.</w:t>
      </w:r>
    </w:p>
    <w:p>
      <w:r>
        <w:t>Au demeurant, les considérations cantonales ne sont pas manifestement insoutenables. En effet, sur la base des éléments retenus, en particulier la quittance de vente passée le 19 avril 1988 - dont la valeur probante relative n'a pas été ignorée par la cour cantonale, qui a néanmoins considéré, à défaut de disposer d'une autre preuve concrète, qu'il s'agissait d'un indice sérieux -, le procès-verbal d'audition de G.________ et l'absence d'un quelconque moyen de preuve contribuant à établir que le défunt était le propriétaire du véhicule en question, respectivement le seul véritable propriétaire indirect des avoirs de la société B.________ Limited - les témoins dont il a été question plus haut, même s'ils avaient été entendus, ne pouvant pas apporter de certitudes sur le patrimoine du prénommé - la cour cantonale pouvait admettre que c'étaient bien les représentants de la société B.________ Limited, propriétaire de la voiture D.________, qui avaient repris possession du véhicule.</w:t>
      </w:r>
    </w:p>
    <w:p>
      <w:r>
        <w:t>C'est donc sans violer le droit fédéral que l'autorité précédente a jugé que la recourante n'était pas lésée par le vol allégué, partant qu'elle lui a dénié la qualité pour recourir, et qu'elle a confirmé l'ordonnance de classement, considérant qu'il n'y avait pas d'infraction commise.</w:t>
      </w:r>
    </w:p>
    <w:p>
      <w:r>
        <w:rPr>
          <w:b/>
        </w:rPr>
        <w:t>E. 5</w:t>
      </w:r>
    </w:p>
    <w:p>
      <w:r>
        <w:t>La recourante se plaint d'une violation du principe de célérité. Elle fait valoir que près de six années se seraient écoulées depuis le premier dépôt de plainte, en raison d'une inaction du ministère public et des décisions erronées de la Chambre des recours pénale.</w:t>
      </w:r>
    </w:p>
    <w:p>
      <w:r>
        <w:t>En l'espèce, outre qu'il ne semble pas - et la recourante ne le soutient du reste pas - qu'elle ait agi auprès des autorités en question pour leur demander de faire diligence, pas plus qu'elle se serait plainte d'un retard injustifié (cf. ATF 130 I 312 consid. 5.2 p. 332; arrêt 6B_556/2017 du 15 mars 2018 consid. 3.1), elle n'explique pas non plus en quoi il y aurait encore un intérêt à faire constater un éventuel retard à statuer maintenant que l'ordonnance de classement a été rendue (cf. ATF 136 III 497 consid..2.1 p. 500; arrêt 2C_1014/2013 du 22 août 2014 consid. 7.1 et 7.2, non publiés in ATF 140 I 271 , mais in Pra 2015/54 p. 424). La critique est donc infondée.</w:t>
      </w:r>
    </w:p>
    <w:p>
      <w:r>
        <w:rPr>
          <w:b/>
        </w:rPr>
        <w:t>E. 6</w:t>
      </w:r>
    </w:p>
    <w:p>
      <w:r>
        <w:t>Le recours doit en conséquence être rejeté, dans la mesure où il est recevable. La recourante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