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160/2013 vom 5. April 2013</w:t>
      </w:r>
    </w:p>
    <w:p>
      <w:r>
        <w:t>Bundesgericht, 2013-04-05, DE</w:t>
      </w:r>
    </w:p>
    <w:p>
      <w:r>
        <w:rPr>
          <w:b/>
        </w:rPr>
        <w:t xml:space="preserve">Quelle: </w:t>
      </w:r>
      <w:r>
        <w:t>https://mcp.opencaselaw.ch/entscheid/bger_6B_160_2013</w:t>
      </w:r>
    </w:p>
    <w:p>
      <w:r>
        <w:t>FR: TF 6B 160/2013 du 5 avril 2013</w:t>
      </w:r>
    </w:p>
    <w:p>
      <w:r>
        <w:t>IT: TF 6B 160/2013 del 5 aprile 2013</w:t>
      </w:r>
    </w:p>
    <w:p>
      <w:pPr>
        <w:pStyle w:val="Heading2"/>
      </w:pPr>
      <w:r>
        <w:t>Regeste</w:t>
      </w:r>
    </w:p>
    <w:p>
      <w:r>
        <w:t>Einstellung (mehrfache Urkundenfälschung etc.) | Strafprozess</w:t>
      </w:r>
    </w:p>
    <w:p>
      <w:pPr>
        <w:pStyle w:val="Heading2"/>
      </w:pPr>
      <w:r>
        <w:t>Erwägungen</w:t>
      </w:r>
    </w:p>
    <w:p>
      <w:r>
        <w:rPr>
          <w:b/>
        </w:rPr>
        <w:t>E. 1</w:t>
      </w:r>
    </w:p>
    <w:p>
      <w:r>
        <w:t>X.________ Ltd.,</w:t>
      </w:r>
    </w:p>
    <w:p>
      <w:r>
        <w:rPr>
          <w:b/>
        </w:rPr>
        <w:t>E. 2</w:t>
      </w:r>
    </w:p>
    <w:p>
      <w:r>
        <w:t>Die Beschwerdeführerinnen erheben schwerwiegende Vorwürfe gegen die Behörden des Kantons Zürich. So seien die Bank "bewusst geschützt" und das Verfahren "vorsätzlich verschleppt" worden. Dafür spricht nichts. Mit derart unsubstanziierten Vorbringen kann sich das Bundesgericht nicht befassen.</w:t>
      </w:r>
    </w:p>
    <w:p>
      <w:r>
        <w:rPr>
          <w:b/>
        </w:rPr>
        <w:t>E. 3</w:t>
      </w:r>
    </w:p>
    <w:p>
      <w:r>
        <w:t>Die Beschwerdeführerinnen bemängeln, dass von ihnen beantragte Beweiserhebungen nicht getätigt wurden. Die Beweiswürdigung kann vor Bundesgericht nur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in der Beschwerde unter Bezugnahme auf den angefochtenen Entscheid präzise zu rügen, und die Rüge ist zu begründen ( Art. 106 Abs. 2 BGG ). Kritik, wie sie vor einer Instanz mit voller Kognition vorgebracht werden kann, genügt nicht. Die Beschwerdeführerinnen beschränken sich auf appellatorische und damit unzulässige Kritik. Nach den Feststellungen der Vorinstanz gibt es keine Anhaltspunkte dafür, dass die Unterschriftsberechtigungen drei Jahre nach Eröffnung der Konten in strafrechtlich relevanter Weise eingefügt wurden. So geht die Vorinstanz davon aus, dass die beiden betroffenen Personen bei der Kontoeröffnung persönlich vor Ort waren (Beschluss S. 10). Dass diese tatsächliche Feststellung willkürlich wäre, ergibt sich aus der Beschwerde nicht. Weiter führt die Vorinstanz aus, es leuchte ein, dass die beiden anwesenden Personen für Konten, auf welchen Vermögenswerte lagen, welche sie durch ihre Arbeitstätigkeit erwirtschaftet hatten, über eine Unterschriftsberechtigung verfügen wollten (Beschluss S. 10). Was an dieser Schlussfolgerung unrichtig sein könnte, ist der Beschwerde ebenfalls nicht zu entnehmen. Ohne dass sich das Bundesgericht zu allen Vorbringen ausdrücklich äussern müsste, ist auf die unzureichend begründete Beschwerde im Verfahren nach Art. 108 BGG nicht einzutreten.</w:t>
      </w:r>
    </w:p>
    <w:p>
      <w:r>
        <w:rPr>
          <w:b/>
        </w:rPr>
        <w:t>E. 4</w:t>
      </w:r>
    </w:p>
    <w:p>
      <w:r>
        <w:t>Die Gerichtskosten sind den Beschwerdeführerinnen je zur Hälfte unter solidarischer Haftung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