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6B_159/2023 vom 15. Februar 2023</w:t>
      </w:r>
    </w:p>
    <w:p>
      <w:r>
        <w:t>Bundesgericht, 2023-02-15, FR</w:t>
      </w:r>
    </w:p>
    <w:p>
      <w:r>
        <w:rPr>
          <w:b/>
        </w:rPr>
        <w:t xml:space="preserve">Quelle: </w:t>
      </w:r>
      <w:r>
        <w:t>https://mcp.opencaselaw.ch/entscheid/bger_6B_159_2023</w:t>
      </w:r>
    </w:p>
    <w:p>
      <w:r>
        <w:t>FR: TF 6B_159/2023 du 15 février 2023</w:t>
      </w:r>
    </w:p>
    <w:p>
      <w:r>
        <w:t>IT: TF 6B_159/2023 del 15 febbraio 2023</w:t>
      </w:r>
    </w:p>
    <w:p>
      <w:pPr>
        <w:pStyle w:val="Heading2"/>
      </w:pPr>
      <w:r>
        <w:t>Erwägungen</w:t>
      </w:r>
    </w:p>
    <w:p>
      <w:r>
        <w:rPr>
          <w:b/>
        </w:rPr>
        <w:t>E. 1</w:t>
      </w:r>
    </w:p>
    <w:p>
      <w:r>
        <w:t>Par arrêt du 22 décembre 2022, la Chambre pénale de recours de la Cour de justice de la République et canton de Genève a rejeté le recours formé par A.________ contre l'ordonnance du 21 octobre 2022 par laquelle le Ministère public genevois a refusé d'entrer en matière sur la plainte déposée par la prénommée contre la procureure B.________.</w:t>
      </w:r>
    </w:p>
    <w:p>
      <w:r>
        <w:t>Il en ressort qu'en substance, A.________ reprochait à la procureure en cause d'avoir "clairement dysfonctionné" à son désavantage dans une procédure menée en 2016 contre elle et s'étant soldée par une ordonnance de non-entrée en matière, ce qui aurait dû conduire la magistrate à se récuser dans d'autres procédures. En omettant de le faire, elle aurait commis un abus d'autorité. En outre, elle reprochait également à la procureure de l'avoir convoquée un mercredi, seul jour où elle pouvait exercer son droit de visite. La cour cantonale a estimé que les comportements reprochés par A.________ à la procureure ne réalisaient pas les conditions d'un abus d'autorité, ni d'une quelconque autre infraction. En outre, les demandes de récusation formulées par la prénommée contre la magistrate avaient été traitées dans deux procédures séparées.</w:t>
      </w:r>
    </w:p>
    <w:p>
      <w:r>
        <w:t>A.________ forme un recours en matière pénale au Tribunal fédéral. Elle conclut, en substance, à l'annulation de la décision attaquée et à ce que la cause soit instruite par le Ministère public de la Confédération. Elle requiert, par ailleurs, l'octroi de l'assistance judiciaire et de l'effet suspensif.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w:t>
      </w:r>
    </w:p>
    <w:p>
      <w:r>
        <w:t>La plainte de la recourante, sur laquelle il a été refusé d'entrer en matière, est dirigée contre une magistrate de l'ordre judiciaire genevois, à l'adresse de laquelle la recourante élève des reproches dans le cadre des différentes procédures pénales qu'elle a instruites. Les actes reprochés par la recourante ont, pour autant qu'ils soient avérés, été effectués par la magistrate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l'auteure présumée contre laquelle elle a dirigé sa plainte mais contre l'État. Cela exclut que la recourante puisse déduire sa qualité pour recourir de l'art. 81 al. 1 let. a et b ch. 5 LTF.</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recourante prétend à une violation de son droit d'être entendue et à la commission d'un déni de justice. Elle ne consacre toutefois aucune motivation à cette critique qui permettrait de comprendre en quoi tel serait le cas. Elle ne fait ainsi valoir aucun moyen qui peut être séparé du fond et ses griefs ne sauraient non plus fonder sa qualité pour recourir.</w:t>
      </w:r>
    </w:p>
    <w:p>
      <w:r>
        <w:rPr>
          <w:b/>
        </w:rPr>
        <w:t>E. 2.4</w:t>
      </w:r>
    </w:p>
    <w:p>
      <w:r>
        <w:t>Dans la mesure où la recourante semble également s'en prendre à la question de la récusation de la procureure, les demandes de récusation qu'elle a formées à ce sujet ont été traitées dans des procédures séparées. Elles ne sont ainsi pas l'objet de la décision attaquée si bien que les critiques de la recourante à cet égard sont irrecevables.</w:t>
      </w:r>
    </w:p>
    <w:p>
      <w:r>
        <w:rPr>
          <w:b/>
        </w:rPr>
        <w:t>E. 3</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r>
        <w:t>La cause étant tranchée, la demande d'effet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