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6B_158/2019 vom 12. März 2019</w:t>
      </w:r>
    </w:p>
    <w:p>
      <w:r>
        <w:t>Bundesgericht, 2019-03-12, FR</w:t>
      </w:r>
    </w:p>
    <w:p>
      <w:r>
        <w:rPr>
          <w:b/>
        </w:rPr>
        <w:t xml:space="preserve">Quelle: </w:t>
      </w:r>
      <w:r>
        <w:t>https://mcp.opencaselaw.ch/entscheid/bger_6B_158_2019</w:t>
      </w:r>
    </w:p>
    <w:p>
      <w:r>
        <w:t>FR: TF 6B_158/2019 du 12 mars 2019</w:t>
      </w:r>
    </w:p>
    <w:p>
      <w:r>
        <w:t>IT: TF 6B_158/2019 del 12 marzo 2019</w:t>
      </w:r>
    </w:p>
    <w:p>
      <w:pPr>
        <w:pStyle w:val="Heading2"/>
      </w:pPr>
      <w:r>
        <w:t>Erwägungen</w:t>
      </w:r>
    </w:p>
    <w:p>
      <w:r>
        <w:rPr>
          <w:b/>
        </w:rPr>
        <w:t>E. 1</w:t>
      </w:r>
    </w:p>
    <w:p>
      <w:r>
        <w:t>Le recourant conteste sa condamnation pour tentative d'entrave aux mesures de constatation de l'incapacité de conduire.</w:t>
      </w:r>
    </w:p>
    <w:p>
      <w:r>
        <w:rPr>
          <w:b/>
        </w:rPr>
        <w:t>E. 1.1.1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(cf. infra consid. 1.1.2) soit moins bien traité que celui qui l'entrave ou s'y soustrait (arrêt 6B_598/2018 du 7 novembre 2018 consid. 3.1, destiné à la publication, et les références citées).</w:t>
      </w:r>
    </w:p>
    <w:p>
      <w:r>
        <w:t>L' art. 91a al. 1 LCR distingue trois comportements punissables: la dérobade - laquelle est liée à la violation des devoirs en cas d'accident ( ATF 142 IV 324 consid. 1.1.1 p. 326) -, la mise en échec d'une constatation - qui consiste à fausser les résultats issus d'une mesure d'investigation de l'état d'incapacité de conduire ( ATF 131 IV 36 consid. 2.2.4 p. 40)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(arrêts 6B_384/2015 du 7 décembre 2015 consid. 5.3; 6B_229/2012 du 5 novembre 2012 consid. 4.1). L'opposition suppose en principe que la mesure a déjà été ordonnée (cf. parmi d'autres: CHRISTOF RIEDO, in Basler Kommentar, Strassenverkehrsgesetz, 2014, n° 157 ad art. 91a LCR ). Toutefois, dès lors que le texte de l' 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(BERNARD CORBOZ, Les infractions en droit suisse, tome II, n° 15 ad art. 91a LCR ).</w:t>
      </w:r>
    </w:p>
    <w:p>
      <w:r>
        <w:t>Sur le plan subjectif, l'infraction est intentionnelle, le dol éventuel étant suffisant (arrêt 6B_384/2015 précité consid. 5.3; s'agissant de l'art. 91 al. 3 aLCR: ATF 131 IV 36 consid. 2.2.1 p. 39). Aucun dessein spécial n'est requis. Il n'est ainsi pas déterminant que l'auteur se soit senti ou non en incapacité de conduire ou qu'il soit finalement constaté qu'il se trouvait dans cet état ( ATF 105 IV 64 consid. 2 p. 65; CHRISTOF RIEDO, op. cit., n° 149 ad art. 91a LCR ; BUSSY ET AL., Code suisse de la circulation routière commenté, 4</w:t>
      </w:r>
    </w:p>
    <w:p>
      <w:r>
        <w:t>e éd., 2015, n° 2.1 ad art. 91a LCR ).</w:t>
      </w:r>
    </w:p>
    <w:p>
      <w:r>
        <w:t>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 ATF 115 IV 51 consid. 5 p. 56; arrêt 6B_216/2010 du 11 mai 2010 consid. 3.1.2).</w:t>
      </w:r>
    </w:p>
    <w:p>
      <w:r>
        <w:rPr>
          <w:b/>
        </w:rPr>
        <w:t>E. 1.1.2</w:t>
      </w:r>
    </w:p>
    <w:p>
      <w:r>
        <w:t>Selon l' art. 55 al. 1 LCR ,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LCR ).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 art. 55 al. 2 LCR et 10 al. 2 de l'ordonnance du 28 mars 2007 sur le contrôle de la circulation routière [OCCR; RS 741.013]; ATF 139 II 95 consid. 2.1 p. 99). Dans ce cadre, des indices légers, tels qu'un teint blême ou des yeux embués, sont toutefois suffisants (arrêt 6B_598/2018 précité consid. 3.5, destiné à la publication).</w:t>
      </w:r>
    </w:p>
    <w:p>
      <w:r>
        <w:rPr>
          <w:b/>
        </w:rPr>
        <w:t>E. 1.2</w:t>
      </w:r>
    </w:p>
    <w:p>
      <w:r>
        <w:t>La cour cantonale a retenu que le véhicule du recourant, qui était dépourvu de plaques d'immatriculation, avait attiré l'attention d'une patrouille de police circulant sur l'autoroute A1, de sorte que celle-ci a demandé au recourant de la suivre en l'enjoignant à emprunter la sortie d'autoroute de Gland. C'était alors, après avoir dans un premier temps fait mine d'obtempérer, que le recourant avait dépassé le véhicule de police dans l'optique de lui échapper (cf. jugement entrepris, p. 10).</w:t>
      </w:r>
    </w:p>
    <w:p>
      <w:r>
        <w:t>Il apparaît qu'en prenant la fuite dans de telles circonstances, le recourant avait exprimé son opposition catégorique à la mise en oeuvre de toute mesure d'investigation susceptible d'être effectuée par la police, que ce soit la soumission à un alcootest ou des examens préliminaires permettant de détecter la consommation de stupéfiants. Dans ce contexte, il n'est pas déterminant que le jugement entrepris ne fasse pas état d'indices laissant présumer une conduite sous l'influence de stupéfiants au moment où la police avait repéré le recourant au volant d'un véhicule sans plaques d'immatriculation. Il n'est pas non plus déterminant qu'au moment de la fuite, aucune mesure de constatation de l'incapacité de conduire n'avait formellement été ordonnée, le conducteur devant supposer, dès lors que la police l'avait enjoint de la suivre à la sortie de l'autoroute dans le but reconnaissable de procéder à un contrôle, qu'une telle mesure pourrait être effectuée.</w:t>
      </w:r>
    </w:p>
    <w:p>
      <w:r>
        <w:rPr>
          <w:b/>
        </w:rPr>
        <w:t>E. 1.3</w:t>
      </w:r>
    </w:p>
    <w:p>
      <w:r>
        <w:t>Sur le plan subjectif, le recourant ne conteste pas avoir su que la police pourrait contrôler son état physique dans la mesure où, peu de temps avant les faits, il avait fait l'objet d'une mesure administrative lui interdisant de faire usage de son permis de conduire en raison de sa consommation de stupéfiants. La cour cantonale pouvait ainsi retenir sans arbitraire que l'intéressé savait que son comportement était propre à entraver le constat d'une éventuelle incapacité de conduire, de sorte qu'il a agi intentionnellement.</w:t>
      </w:r>
    </w:p>
    <w:p>
      <w:r>
        <w:t>Pour le surplus, dans la mesure où l'infraction en cause ne requiert pas que l'auteur se soit su en état d'incapacité de conduire ou qu'il se soit effectivement trouvé dans cet état, il n'y a pas matière à déterminer si le recourant devait savoir que sa consommation de cannabis la veille des faits avait pour effet que l'examen réalisé se révèle positif. Du reste, il importe peu que, dans ses déclarations, l'intéressé se soit limité à expliquer les raisons de sa fuite par le fait qu'il avait peur de se faire interpeler alors qu'il circulait sans permis de conduire, ce point n'excluant pas qu'il craignait également un contrôle de sa capacité de conduire.</w:t>
      </w:r>
    </w:p>
    <w:p>
      <w:r>
        <w:rPr>
          <w:b/>
        </w:rPr>
        <w:t>E. 1.4</w:t>
      </w:r>
    </w:p>
    <w:p>
      <w:r>
        <w:t>Etant donné qu'il a tout de même pu être procédé au constat de l'incapacité de conduire à l'issue de la course-poursuite, c'est à juste titre que l'infraction est réprimée en l'espèce au stade de la tentative.</w:t>
      </w:r>
    </w:p>
    <w:p>
      <w:r>
        <w:rPr>
          <w:b/>
        </w:rPr>
        <w:t>E. 1.5</w:t>
      </w:r>
    </w:p>
    <w:p>
      <w:r>
        <w:t>Enfin, il importe peu que le recourant a également été condamné pour empêchement d'accomplir un acte officiel ( art. 286 CP ), cette disposition ayant en l'espèce réprimé son refus de se soumettre à un contrôle de son véhicule et de son permis de conduire (cf. jugement du 5 juillet 2018, p. 19 s.), sans qu'elle n'englobe l'entrave aux mesures de constatation de l'incapacité de conduire, qui est pour sa part réprimée par l' art. 91a al. 1 LCR en tant que lex specialis ( ATF 124 IV 127 consid. 3b/dd p. 133; arrêt 6B_680/2010 du 2 novembre 2010 consid. 4.2.2).</w:t>
      </w:r>
    </w:p>
    <w:p>
      <w:r>
        <w:rPr>
          <w:b/>
        </w:rPr>
        <w:t>E. 1.6</w:t>
      </w:r>
    </w:p>
    <w:p>
      <w:r>
        <w:t>En définitive, la condamnation du recourant pour tentative d'entrave aux mesures de constatation de l'incapacité de conduire ( art. 22 CP ad art. 91a al. 1 LCR ) ne viole pas le droit fédéral.</w:t>
      </w:r>
    </w:p>
    <w:p>
      <w:r>
        <w:rPr>
          <w:b/>
        </w:rPr>
        <w:t>E. 2</w:t>
      </w:r>
    </w:p>
    <w:p>
      <w:r>
        <w:t>Le recourant ne conteste pas la quotité de la peine privative de liberté (18 mois) qui lui a été infligée. Il soutient en revanche qu'il doit bénéficier d'un sursis complet, et non uniquement d'un sursis partiel.</w:t>
      </w:r>
    </w:p>
    <w:p>
      <w:r>
        <w:rPr>
          <w:b/>
        </w:rPr>
        <w:t>E. 2.1</w:t>
      </w:r>
    </w:p>
    <w:p>
      <w:r>
        <w:t>Selon l' art. 42 al. 1 CP , le juge suspend en règle générale l'exécution d'une peine privative de liberté de deux ans au plus lorsqu'une peine ferme ne paraît pas nécessaire pour détourner l'auteur d'autres crimes ou délits. L' art. 42 al. 2 CP , dans sa teneur en vigueur depuis le 1</w:t>
      </w:r>
    </w:p>
    <w:p>
      <w:r>
        <w:t>er janvier 2018, prévoit que si, durant les cinq ans qui précèdent l'infraction, l'auteur a été condamné à une privative de liberté ferme ou avec sursis de plus de six mois, il ne peut y avoir de sursis à l'exécution de la peine qu'en cas de circonstances particulièrement favorables. Avant le 1</w:t>
      </w:r>
    </w:p>
    <w:p>
      <w:r>
        <w:t>er janvier 2018, l'art. 42 al. 2 aCP fixait le seuil à partir duquel seules des circonstances particulièrement favorables étaient susceptibles de justifier un sursis, à une peine privative de liberté ferme ou avec sursis de six mois au moins ou à une peine pécuniaire de cent quatre-vingts jours-amende au moins. Quant à l' art. 43 al. 1 CP , il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Par conditions subjectives, il faut entendre notamment la condition posée à l' art. 42 al. 2 CP (cf. ATF 134 IV 1 consid. 4.2 et 4.2.3 p. 5 ss).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juge doit par ailleurs motiver sa décision de manière suffisante (cf. art. 50 CP ). Sa motivation doit permettre de vérifier s'il a tenu compte de tous les éléments pertinents et comment ils ont été appréciés ( ATF 135 IV 180 consid. 2.1 p. 185 s. et les références citées).</w:t>
      </w:r>
    </w:p>
    <w:p>
      <w:r>
        <w:t>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w:t>
      </w:r>
    </w:p>
    <w:p>
      <w:r>
        <w:rPr>
          <w:b/>
        </w:rPr>
        <w:t>E. 2.2</w:t>
      </w:r>
    </w:p>
    <w:p>
      <w:r>
        <w:t>La cour cantonale a posé un pronostic mitigé s'agissant du comportement futur de l'auteur. Elle a relevé, d'une part, que l'évolution du recourant avait certes été favorable, celui-ci ayant repris sa vie en main depuis les faits. Il fallait toutefois tenir compte, d'autre part, que les faits s'étaient produits quatre mois après une première condamnation à une peine pécuniaire de 180 jours-amende, prononcée avec sursis par le Ministère public du canton de Genève, pour des infractions à la circulation routière du même type que celles à juger (conduite sans permis et sans assurance-responsabilité civile), commises entre décembre 2015 et février 2016, alors que son fichier ADMAS faisait par ailleurs état de plusieurs sanctions administratives prononcées depuis 2011.</w:t>
      </w:r>
    </w:p>
    <w:p>
      <w:r>
        <w:rPr>
          <w:b/>
        </w:rPr>
        <w:t>E. 2.3</w:t>
      </w:r>
    </w:p>
    <w:p>
      <w:r>
        <w:t>Le recourant ne se plaint pas que l'un ou l'autre des éléments pris en considération n'aurait pas été pertinent. Il fait en revanche grief à la cour cantonale de ne pas avoir tenu compte que son évolution favorable traduisait également l'existence d'une prise de conscience.</w:t>
      </w:r>
    </w:p>
    <w:p>
      <w:r>
        <w:t>En première instance, le Tribunal correctionnel avait relevé, en se fondant sur les témoignages de la mère et de la compagne du recourant, que celui-ci avait appris de ses erreurs, dès lors que la détention provisoire subie avait eu l'effet d'un choc, qu'il n'avait plus fait parler de lui défavorablement depuis lors, n'avait plus consommé de cannabis, n'avait plus conduit de véhicule automobile et menait une vie stable tant sur le plan professionnel que de ses relations avec autrui (cf. jugement du 5 juillet 2018, p. 21 ss). En estimant que les juges de première instance avaient accordé un poids trop important à l'évolution positive du recourant au détriment de ses antécédents pénaux et administratifs, la cour cantonale n'a pas pour autant estimé que les éléments avancés quant à la situation personnelle et à la prise de conscience du recourant n'avaient pas lieu d'être pris en considération. Il apparaît ainsi qu'elle a tenu compte, sur ces points, des développements du Tribunal correctionnel et les a fait siens.</w:t>
      </w:r>
    </w:p>
    <w:p>
      <w:r>
        <w:t>Par ailleurs, en tant que le recourant soutient qu'il doit être tenu compte du fait que sa détention aurait pour effet de lui faire perdre son emploi et de créer ainsi le risque qu'il sombre une nouvelle fois, il n'explique toutefois pas en quoi il lui serait impossible de conserver son activité professionnelle moyennant l'exécution de la peine en semi-détention (cf. art. 77b CP ), dont il paraît remplir les conditions.</w:t>
      </w:r>
    </w:p>
    <w:p>
      <w:r>
        <w:rPr>
          <w:b/>
        </w:rPr>
        <w:t>E. 2.4</w:t>
      </w:r>
    </w:p>
    <w:p>
      <w:r>
        <w:t>Le recourant conteste l'appréciation portée par la cour cantonale s'agissant de ses antécédents, en soutenant qu'un poids prépondérant a été conféré à ceux-ci.</w:t>
      </w:r>
    </w:p>
    <w:p>
      <w:r>
        <w:t>La cour cantonale a constaté qu'en dépit des deux jours passés en détention provisoire dans le cadre de la procédure menée par les autorités genevoises et de la peine de 180 jours-amende prononcée en février 2016 dans le cadre de cette même procédure, à laquelle de lourdes sanctions administratives étaient attachées, le recourant avait persisté, le 17 juin 2016, à enfreindre les règles fondamentales de la circulation routière en adoptant un comportement routier gravissime, ce qui dénotait un manque absolu de scrupules. On déduit ainsi du raisonnement de la cour cantonale que l'existence d'antécédents pénaux et administratifs pour des faits de même nature que ceux à juger était propre à mettre en doute ses réelles perspectives d'amendement, malgré l'évolution favorable du recourant constatée depuis les faits. Cela étant, elle pouvait considérer, dans le cadre du large pouvoir d'appréciation qui lui est conféré, que ses antécédents ne permettaient pas de poser un pronostic entièrement favorable, de sorte qu'il se justifiait, sous l'angle de la prévention spéciale, que le recourant exécute une partie de la peine prononcée.</w:t>
      </w:r>
    </w:p>
    <w:p>
      <w:r>
        <w:t>En tant que le recourant se plaint que la cour cantonale n'a pas tenu compte de l' art. 42 al. 2 CP dans sa version en vigueur dès le 1</w:t>
      </w:r>
    </w:p>
    <w:p>
      <w:r>
        <w:t>er janvier 2018, qui lui serait plus favorable dès lors qu'il n'avait jamais fait l'objet d'une peine privative de liberté, on ne saurait pour autant déduire de la motivation de la cour cantonale que celle-ci ait fondé son raisonnement sur l'absence de circonstances particulièrement favorables en faisant application de l'art. 42 al. 2 aCP dans sa teneur jusqu'au 31 décembre 2017. Il apparaît en effet qu'en prenant en considération tant l'évolution personnelle du recourant que ses antécédents, la cour cantonale a apprécié d'une manière globale l'ensemble des circonstances pertinentes.</w:t>
      </w:r>
    </w:p>
    <w:p>
      <w:r>
        <w:rPr>
          <w:b/>
        </w:rPr>
        <w:t>E. 2.5</w:t>
      </w:r>
    </w:p>
    <w:p>
      <w:r>
        <w:t>Le recourant ne cite en définitive aucun élément qui aurait été omis ou pris en considération à tort. Pour le surplus, le raisonnement de la cour cantonale ne suscite pas de critique. C'est donc à juste titre que la cour cantonale a assorti la peine privative de liberté du recourant d'un sursis partiel.</w:t>
      </w:r>
    </w:p>
    <w:p>
      <w:r>
        <w:rPr>
          <w:b/>
        </w:rPr>
        <w:t>E. 3</w:t>
      </w:r>
    </w:p>
    <w:p>
      <w:r>
        <w:t>Le recours doit être rejeté. Comme ses conclusions étaient vouées à l'échec, l'assistance judiciaire ne peut pas être accordée ( art. 64 al. 1 LTF ). Le recourant devra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