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6B_156/2024 vom 23. September 2024</w:t>
      </w:r>
    </w:p>
    <w:p>
      <w:r>
        <w:t>Bundesgericht, 2024-09-23, FR</w:t>
      </w:r>
    </w:p>
    <w:p>
      <w:r>
        <w:rPr>
          <w:b/>
        </w:rPr>
        <w:t xml:space="preserve">Quelle: </w:t>
      </w:r>
      <w:r>
        <w:t>https://mcp.opencaselaw.ch/entscheid/bger_6B_156_2024</w:t>
      </w:r>
    </w:p>
    <w:p>
      <w:r>
        <w:t>FR: TF 6B_156/2024 du 23 septembre 2024</w:t>
      </w:r>
    </w:p>
    <w:p>
      <w:r>
        <w:t>IT: TF 6B_156/2024 del 23 settembre 2024</w:t>
      </w:r>
    </w:p>
    <w:p>
      <w:pPr>
        <w:pStyle w:val="Heading2"/>
      </w:pPr>
      <w:r>
        <w:t>Erwägungen</w:t>
      </w:r>
    </w:p>
    <w:p>
      <w:r>
        <w:rPr>
          <w:b/>
        </w:rPr>
        <w:t>E. 1</w:t>
      </w:r>
    </w:p>
    <w:p>
      <w:r>
        <w:t>La recourante a pris part à la procédure devant les juridictions précédentes, notamment devant la dernière instance cantonale. Elle a fait valoir dans ce cadre des prétentions en indemnisation du tort moral, par 3'000 fr., envers chacun des intimés, fondées sur les infractions qu'elle leur reproche. Elle formule à nouveau ces prétentions devant le Tribunal fédéral. La recourante a dès lors la qualité pour recourir au Tribunal fédéral au regard de l'art. 81 al. 1 let. b ch. 5 LTF.</w:t>
      </w:r>
    </w:p>
    <w:p>
      <w:r>
        <w:rPr>
          <w:b/>
        </w:rPr>
        <w:t>E. 2</w:t>
      </w:r>
    </w:p>
    <w:p>
      <w:r>
        <w:t>Dans un premier grief, la recourante se plaint d'arbitraire dans l'établissement des faits et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Les critiques de nature appellatoire sont irrecevables ( ATF 147 IV 73 consid. 4.1.2; 146 IV 88 consid. 1.3.1).</w:t>
      </w:r>
    </w:p>
    <w:p>
      <w:r>
        <w:rPr>
          <w:b/>
        </w:rPr>
        <w:t>E. 2.2</w:t>
      </w:r>
    </w:p>
    <w:p>
      <w:r>
        <w:t>La recourante se contente d'énumérer dans son écriture plusieurs éléments que, selon elle, l'autorité précédente n'aurait pas retenus dans l'établissement des faits concernant les deux intimés. Pour l'essentiel, elle se limite à opposer sa propre appréciation à celle de la cour cantonale dans une démarche purement appellatoire et, partant, irrecevable.</w:t>
      </w:r>
    </w:p>
    <w:p>
      <w:r>
        <w:t>Au demeurant, s'agissant de l'intimé 3, la recourante semble ignorer que la cour cantonale a retenu sa version des faits au détriment de celle donnée par le premier, ainsi qu'il le relève dans ses déterminations. Elle a retenu les faits tels qu'ils ressortent de l'acte d'accusation et dont la recourante a indiqué qu'ils correspondaient bien à ce qu'elle avait vécu. Elle a, à l'instar des premiers juges, considéré que les déclarations de la recourante étaient constantes et mesurées. À l'inverse, elle a mis en évidence les dires peu crédibles de l'intimé 3 et souligné que ce dernier avait été pris en défaut à plusieurs reprises. En définitive, la recourante échoue à démontrer l'arbitraire dans l'appréciation des preuves et l'établissement des faits s'agissant des actes reprochés à l'intimé 3.</w:t>
      </w:r>
    </w:p>
    <w:p>
      <w:r>
        <w:t>S'agissant de l'intimé 2, la recourante prétend qu'une rencontre en 2012 est plausible, que son état psychique n'enlève rien à la crédibilité de ses déclarations et que les intimés n'ont pas déposé plainte pour diffamation ou calomnie. Or aucun de ces éléments n'est apte à démontrer l'arbitraire de l'état de fait retenu par la cour cantonale, s'agissant des faits reprochés à l'intimé 2. Elle a jugé équivalente la crédibilité de la version de deux intéressés. La recourante s'écarte de manière inadmissible des faits arrêtés par les juges d'appel en rapportant des réactions qu'elle a eues après des rapports sexuels avec l'intimé 2. En tout état, la cour cantonale a énuméré précisément les éléments permettant de retenir la thèse de la relation sentimentale plutôt que celle de l'abus, à savoir notamment la présentation des intéressés à certains membres de leur famille, la déclaration de la recourante selon laquelle elle avait été en mesure de refuser des rapports sexuels ainsi que les multiples messages et appels adressés par la recourante à l'intimé 2 en 2019. La cour cantonale pouvait ainsi, en vertu du principe de la présomption d'innocence et sans verser dans l'arbitraire, retenir que les intéressés ont entretenu des rapports sexuels librement consentis dans le cadre d'une relation amoureuse.</w:t>
      </w:r>
    </w:p>
    <w:p>
      <w:r>
        <w:rPr>
          <w:b/>
        </w:rPr>
        <w:t>E. 3</w:t>
      </w:r>
    </w:p>
    <w:p>
      <w:r>
        <w:t>La recourante soutient que les agissements de l'intimé 3 tombent sous le coup de la contrainte sexuelle ( art. 189 CP ) et du viol ( art. 190 CP ) et non pas de l' art. 193 CP , infraction qui serait prescrite.</w:t>
      </w:r>
    </w:p>
    <w:p>
      <w:r>
        <w:rPr>
          <w:b/>
        </w:rPr>
        <w:t>E. 3.1.1</w:t>
      </w:r>
    </w:p>
    <w:p>
      <w:r>
        <w:t>Conformément à l' art. 193 al. 1 CP (dans sa teneur avant le 30 juin 2024)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w:t>
      </w:r>
    </w:p>
    <w:p>
      <w:r>
        <w:t>La question de savoir s'il existe un état de détresse ou un lien de dépendance au sens de l' art. 193 CP et si la capacité de la victime de se déterminer était gravement limitée doit être examinée à la lumière des circonstances du cas d'espèce ( ATF 131 IV 114 consid. 1; arrêt 6B_1307/2020 du 19 juillet 2021 consid. 1.2). La situation de détresse ou de dépendance doit être appréciée selon la représentation que s'en font les intéressés (cf. ATF 99 IV 161 consid. 1; arrêts 6B_1307/2020 précité consid. 1.2; 6B_895/2020 du 4 février 2021 consid. 2.4.1 et les références citées).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6B_1307/2020 précité consid. 1.2; 6B_895/2020 précité consid. 2.4.1 et les arrêts cités).</w:t>
      </w:r>
    </w:p>
    <w:p>
      <w:r>
        <w:t>Dans une relation entre un psychothérapeute et son patient, il peut exister un "lien de dépendance de toute autre nature" au sens de l' art. 193 CP ( ATF 128 IV 106 consid. 3b p. 112 s.; 124 IV 13 consid. 2c p. 16 ss; arrêt 6B_1307/2020 précité consid. 1.2).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ce lien peut toutefois, selon les circonstances, exister après très peu de temps ( ATF 131 IV 114 consid. 1; arrêt 6B_1307/2020 précité consid. 1.2; voir aussi, pour une présentation de la casuistique dans la relation thérapeute/patient: PHILIPP MAIER, in Basler Kommentar, Strafrecht II, 4e éd. 2019, no 9 et 10</w:t>
      </w:r>
    </w:p>
    <w:p>
      <w:r>
        <w:t>ad</w:t>
      </w:r>
    </w:p>
    <w:p>
      <w:r>
        <w:t>art. 193 CP ).</w:t>
      </w:r>
    </w:p>
    <w:p>
      <w:r>
        <w:t>Du point de vue subjectif, il faut que l'acte soit intentionnel. L'auteur doit savoir ou tout au moins supposer que la personne concernée n'accepte les actes d'ordre sexuel en question qu'en raison du lien de dépendance existant ( ATF 131 IV 114 consid. 1 p. 119 et la jurisprudence citée; arrêt 6B_1307/2020 précité consid. 1.2).</w:t>
      </w:r>
    </w:p>
    <w:p>
      <w:r>
        <w:rPr>
          <w:b/>
        </w:rPr>
        <w:t>E. 3.1.2</w:t>
      </w:r>
    </w:p>
    <w:p>
      <w:r>
        <w:t>Conformément à l' art. 189 al. 1 CP (dans sa teneur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(dans sa teneur jusqu'au 30 juin 2024). Le viol et la contrainte sexuelle supposent l'emploi d'un moyen de contrainte. S'agissant des moyens employés pour contraindre la victime, les dispositions précitées mentionnent notamment la menace et les pressions d'ordre psychique.</w:t>
      </w:r>
    </w:p>
    <w:p>
      <w:r>
        <w:t>Selon la jurisprudence, l'auteur profère des menaces lorsque, par ses paroles ou son comportement, il fait volontairement redouter à la victime la survenance d'un préjudice, à l'effet de l'amener à céder. La menace doit faire craindre un préjudice sérieux ( ATF 122 IV 97 consid. 2b; arrêt 6B_981/2019 du 12 novembre 2020 consid. 2.2). L'existence d'une menace dans un cas concret doit toujours être évaluée en fonction de l'ensemble des circonstances. Il ne faut pas se fonder uniquement sur des critères objectifs, mais prendre également en compte les points de vue de la victime dans le cadre de l'évaluation du moyen de contrainte ([relativer Massstab]; arrêt 6B_587/2017 du 16 octobre 2017 consid. 4.5.1; cf. également ULRICH WEDER, in StGB/JStG Kommentar, 21e éd. 2022, no 10</w:t>
      </w:r>
    </w:p>
    <w:p>
      <w:r>
        <w:t>ad</w:t>
      </w:r>
    </w:p>
    <w:p>
      <w:r>
        <w:t>art. 189 CP ; PHILIPP MAIER,</w:t>
      </w:r>
    </w:p>
    <w:p>
      <w:r>
        <w:t>op. cit. , no 27</w:t>
      </w:r>
    </w:p>
    <w:p>
      <w:r>
        <w:t>ad</w:t>
      </w:r>
    </w:p>
    <w:p>
      <w:r>
        <w:t>art. 189 CP ).</w:t>
      </w:r>
    </w:p>
    <w:p>
      <w:r>
        <w:t>Tout comportement conduisant à un acte sexuel ou à un acte d'ordre sexuel non souhaité ne saurait être qualifié de viol ou de contrainte sexuelle, selon le droit applicable au moment des faits ( ATF 131 IV 167 consid. 3.1; arrêt 6B_1057/2021 du 10 février 2022 consid. 2.1). Certes, la loi n'exige pas que la victime soit totalement hors d'état de résister. Le viol et la contrainte sexuelle restent toutefois des délits de violence, de sorte que les pressions d'ordre psychique visées par les art. 189 et 190 CP (dans leur ancienne teneur) doivent revêtir une intensité importante. L'effet produit sur la victime doit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 ATF 131 IV 167 consid. 3.1; arrêts 6B_395/2021 du 11 mars 2022 consid. 3.2.2; 6B_1057/2021 précité consid. 2.1). L'interprétation des art. 189 al. 1 et 190 al. 1 CP (dans leur teneur jusqu'au 30 juin 2024) doit notamment se référer à la question des possibilités raisonnables d'autoprotection de la victime ( ATF 131 IV 167 consid. 3.1; 128 IV 106 consid. 3b; arrêt 6B_1057/2021 précité consid. 2.1).</w:t>
      </w:r>
    </w:p>
    <w:p>
      <w:r>
        <w:t>Sur le plan subjectif, la contrainte sexuelle et le viol sont des infractions intentionnelles. L'auteur doit savoir que la victime n'est pas consentante ou en accepter l'éventualité ( ATF 148 IV 234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 et les arrêts cités).</w:t>
      </w:r>
    </w:p>
    <w:p>
      <w:r>
        <w:rPr>
          <w:b/>
        </w:rPr>
        <w:t>E. 3.1.3</w:t>
      </w:r>
    </w:p>
    <w:p>
      <w:r>
        <w:t>Lorsque l'auteur profite d'une situation préexistante entraînant une dépendance de la victime envers lui, c'est l'infraction définie à l' 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 art. 193 CP se transforme en pressions psychiques selon les art. 189 et 190 CP (dans leur teneur jusqu'au 30 juin 2024), en tenant compte, en particulier, du fait que ces deux dernières normes répriment des infractions de violence. Elles doivent ainsi être interprétées dans la perspective des moyens que l'on peut attendre que la victime oppose. L'importance de l'influence exercée a, dans ce contexte, une portée décisive ( ATF 128 IV 106 consid. 3b; arrêts 6B_1307/2020 du 19 juillet 2021 consid. 2.1; 6B_785/2011 du 29 juin 2012 consid. 4.1; cf. ATF 146 IV 153 consid. 3.5.9).</w:t>
      </w:r>
    </w:p>
    <w:p>
      <w:r>
        <w:rPr>
          <w:b/>
        </w:rPr>
        <w:t>E. 3.2</w:t>
      </w:r>
    </w:p>
    <w:p>
      <w:r>
        <w:t>En l'occurrence, la cour cantonale a exclu, à l'instar des premiers juges, l'existence d'une violence structurelle créée par l'intimé 3 lors des quelques rencontres avec la recourante. Elle a retenu qu'il avait profité d'une situation préexistante ayant entraîné un état de dépendance envers lui, écartant ainsi l'application des art. 189 et 190 CP . La cour cantonale a retenu que l'état de la recourante, tel que décrit par sa psychiatre, était préexistant aux faits de la cause et constituait un terrain propice au développement d'un lien de dépendance entre elle et l'intimé 3. La recourante avait des croyances relatives à la magie noire et l'intimé 3 avait profité d'un état de fait préexistant sans toutefois l'avoir créé. Retenant que l'infraction d'abus de la détresse était prescrite ( art. 97 al. 1 let . c aCP), la cour cantonale a libéré l'intimé 3 de toute infraction pour les faits de la présente cause.</w:t>
      </w:r>
    </w:p>
    <w:p>
      <w:r>
        <w:rPr>
          <w:b/>
        </w:rPr>
        <w:t>E. 3.3</w:t>
      </w:r>
    </w:p>
    <w:p>
      <w:r>
        <w:t>Pour déterminer si, au regard du droit applicable au moment des faits, l'intimé 3 a fait usage d'un moyen de contrainte qui outrepasse la seule exploitation de la situation de détresse ou du lien de dépendance, ainsi que le soutient la recourante, il convient de procéder à une appréciation globale des circonstances concrètes déterminantes.</w:t>
      </w:r>
    </w:p>
    <w:p>
      <w:r>
        <w:rPr>
          <w:b/>
        </w:rPr>
        <w:t>E. 3.3.1</w:t>
      </w:r>
    </w:p>
    <w:p>
      <w:r>
        <w:t>Il ressort des faits établis par la cour cantonale et incontestés à ce stade ( art. 105 al. 1 LTF ), que le jour du premier contact téléphonique entre les intéressés, l'intimé 3 a rappelé la recourante pour lui confirmer que quelqu'un lui avait fait du mal et que le diable était sur elle. Affirmant pouvoir l'aider, il a insisté pour la rencontrer et, après l'avoir fait monter dans son véhicule et lui avoir lu une sourate, il s'est approché d'elle et lui a touché les parties intimes avant de tenter de l'embrasser. La recourante a alors protesté.</w:t>
      </w:r>
    </w:p>
    <w:p>
      <w:r>
        <w:t>À ce stade, aucun élément ne permet de retenir un état de dépendance entre les intéressés, qui venaient de se rencontrer et étaient entrés en contact téléphoniquement le même jour. D'ailleurs, la recourante a su marquer son désaccord en protestant lors de l'attouchement et de la tentative d'obtenir un baiser. La nature de la relation entre les protagonistes ne saurait être assimilée à un lien de dépendance issu d'une relation entre un psychothérapeute et sa patiente (cf.</w:t>
      </w:r>
    </w:p>
    <w:p>
      <w:r>
        <w:t>supra consid. 3.1.1</w:t>
      </w:r>
    </w:p>
    <w:p>
      <w:r>
        <w:t>in fine ). En tout état, d'une part, le prétendu "processus de guérison" n'a été évoqué par l'intimé 3 que le lendemain, de sorte que ce processus n'avait pas encore commencé, et d'autre part, la recourante avait été en mesure de marquer une distance claire le jour de la rencontre. Aussi, il n'existait pas de "lien de dépendance de toute autre nature" au sens de l' art. 193 CP . En outre, le déroulement des faits tel qu'établi par la cour cantonale ne permet pas de discerner un état de détresse préexistant, de nature à entraver sérieusement la recourante dans sa liberté de décision ou de résistance (cf. ATF 133 IV 49 consid. 4), puisqu'elle a précisément pu exercer un acte de résistance.</w:t>
      </w:r>
    </w:p>
    <w:p>
      <w:r>
        <w:t>S'agissant des rencontres suivantes, il ressort des faits établis que l'intimé 3 a téléphoné à la recourante le lendemain de la rencontre précitée et lui a ordonné de coucher avec lui, exposant que cela faisait partie du "processus de guérison". Il a précisé qu'il lui enverrait du mal si elle refusait. Lors des épisodes suivants, l'intimé 3 l'a convaincue d'entretenir avec lui une relation sexuelle complète en usant du même stratagème, en la persuadant que le mauvais oeil était sur elle et que lui seul était en mesure de l'aider.</w:t>
      </w:r>
    </w:p>
    <w:p>
      <w:r>
        <w:t>À nouveau, il est douteux qu'un lien de dépendance au sens de l' art. 193 CP était formé lorsque l'intimé 3 a ordonné à la recourante de coucher avec lui, sous la menace de lui envoyer du mal, faute pour le "processus de guérison" d'avoir été entamé avant la deuxième rencontre.</w:t>
      </w:r>
    </w:p>
    <w:p>
      <w:r>
        <w:t>Cette question peut toutefois souffrir de demeurer indécise. En effet, par l'ensemble du procédé employé, l'intimé 3 n'a pas uniquement profité d'une situation préexistante entraînant une éventuelle dépendance de la recourante ou une situation de détresse, mais a activement participé à la vulnérabiliser et a créé un environnement propice à la subordination. Il a ainsi contribué à ce qu'elle se trouve dans une situation sans issue en usant de moyens d'action excédant la seule exploitation d'un lien préexistant, au moyen d'un stratagème, comme le qualifie d'ailleurs la cour cantonale. En répétant que le mauvais oeil était sur elle et en lui indiquant qu'il lui enverrait du mal si elle refusait de coucher avec lui, alors même qu'il avait essuyé un refus dans son véhicule la veille, l'intimé 3 a usé de menaces, respectivement de pressions psychiques pour amener la recourante à céder. Pour la recourante, le risque d'être atteinte par le mal au moyen de voies occultes pratiquées par un "guérisseur", alors qu'elle croyait à la magie noire et souffrait de troubles psychiques, était propre à lui faire redouter la survenance d'un préjudice sérieux, à l'effet de l'amener à céder. Selon les faits établis ( art. 105 al. 1 LTF ), la recourante craignait que l'intimé 3 agît contre elle par des voies occultes et c'est par "craintes de représailles" qu'elle s'est rendue chez lui. Ce dernier, à qui la recourante avait indiqué qu'elle n'était pas bien et que quelqu'un lui faisait du mal, connaissait la situation personnelle de celle-ci. Dans ces circonstances, les menaces et le stratagème employés étaient de nature à engendrer chez la recourante une pression psychique d'une intensité importante, visant à briser sa résistance, contrairement à ce que prétend l'intimé 3 dans ses déterminations.</w:t>
      </w:r>
    </w:p>
    <w:p>
      <w:r>
        <w:t>En interprétant le comportement de l'intimé 3 dans la perspective des moyens que l'on peut attendre que la victime oppose, les éléments retenus en l'espèce suffisent à admettre que le premier a usé de menaces et a induit une pression psychique importante pour obtenir des faveurs sexuelles de la part de la recourante, qui avait marqué son opposition lors de la première rencontre. S'il fallait, par la suite, discerner un consentement de la recourante aux actes sexuels, celui-ci n'a pas seulement été altéré par une situation de détresse ou un lien de dépendance, mais a été obtenu par des moyens supplémentaires caractéristiques de la contrainte psychique (cf. en ce sens arrêt 6B_97/2013 du 15 avril 2013 consid. 3.4.1 et 3.5, concernant notamment l'instrumentalisation du rapport patient/soignant et de la dépendance de personnes fragilisées dans le cadre de jeux de rôle pour retrouver leur "vie de femme"; ATF 131 IV 167 consid. 3.3, concernant l'auteur de menaces d'atteintes graves aux proches d'une victime adulte; arrêt 6S.143/2002 du 11 juin 2002 consid. 3, concernant une patiente HIV dont le thérapeute prétendait que ses soins auraient permis d'éviter le développement du virus du SIDA). Ainsi, même à admettre l'existence d'une situation de détresse préexistante, voire un lien de dépendance à ce stade, l'intimé 3 a usé de moyens d'action excédant la seule exploitation de cette situation.</w:t>
      </w:r>
    </w:p>
    <w:p>
      <w:r>
        <w:t>L'existence de rapports sexuels complets à trois reprises est établie et n'est pas contestée conformément aux exigences requises (cf. art. 106 al. 2 LTF ).</w:t>
      </w:r>
    </w:p>
    <w:p>
      <w:r>
        <w:t>Au vu de ce qui précède, la cour cantonale a violé le droit fédéral en écartant l'infraction prévue à l' art. 190 CP (dans sa teneur jusqu'au 30 juin 2024) pour les faits commis par l'intimé 3, au motif qu'il aurait profité d'un lien de dépendance préexistant. Le recours doit être admis sur ce point et la cause renvoyée à la cour cantonale afin qu'elle examine les conditions subjectives de l'infraction de viol, et traite, cas échéant, les points qui en découlent.</w:t>
      </w:r>
    </w:p>
    <w:p>
      <w:r>
        <w:rPr>
          <w:b/>
        </w:rPr>
        <w:t>E. 3.3.2</w:t>
      </w:r>
    </w:p>
    <w:p>
      <w:r>
        <w:t>Pour le surplus, la recourante ne tente d'aucune manière de démontrer dans quelle mesure la cour cantonale aurait violé le droit fédéral en écartant l'infraction de contrainte sexuelle ( art. 189 CP , dans sa teneur jusqu'au 30 juin 2024) pour les faits reprochés à l'intimé 3. En particulier, elle ne prétend pas qu'un acte analogue à l'acte sexuel ou d'autres actes d'ordre sexuel auraient été commis par celui-ci. En définitive, la recourante échoue à démontrer dans quelle mesure la cour cantonale aurait violé le droit fédéral quant à la qualification du complexe de faits du jour de la rencontre.</w:t>
      </w:r>
    </w:p>
    <w:p>
      <w:r>
        <w:rPr>
          <w:b/>
        </w:rPr>
        <w:t>E. 3.4</w:t>
      </w:r>
    </w:p>
    <w:p>
      <w:r>
        <w:t>S'agissant de l'intimé 2, la recourante ne développe aucun grief sous l'angle de la qualification de l'infraction ( art. 42 al. 2 LTF ), indépendant de ses critiques d'arbitraire qui ont été écartées (cf.</w:t>
      </w:r>
    </w:p>
    <w:p>
      <w:r>
        <w:t>supra consid. 2). Aussi, sur la base de l'état de fait retenu par la cour cantonale, celle-ci pouvait, sans violer le droit fédéral, libérer l'intimé 2 des infractions reprochées.</w:t>
      </w:r>
    </w:p>
    <w:p>
      <w:r>
        <w:rPr>
          <w:b/>
        </w:rPr>
        <w:t>E. 4</w:t>
      </w:r>
    </w:p>
    <w:p>
      <w:r>
        <w:t>Au vu de ce qui précède, le recours doit être partiellement admis s'agissant de l'acquittement de l'intimé 3. Le jugement attaqué doit être annulé sur ce point et la cause renvoyée à la cour cantonale pour nouvelle décision dans le sens des considérants. Pour le surplus, le recours doit être rejeté dans la mesure où il est recevable.</w:t>
      </w:r>
    </w:p>
    <w:p>
      <w:r>
        <w:t>La recourante, qui succombe partiellement, supportera une partie des frais judiciaires (art. 65 al. 2 et 66 al. 1 LTF). Une partie des frais judiciaires sera mise à la charge de l'intimé 3, qui succombe partiellement ( art. 66 al. 1 LTF ). Dans la mesure où elle obtient partiellement gain de cause, la recourante peut prétendre à des dépens réduits, à la charge de l'intimé 3 qui succombe sur un aspect déterminant ( art. 68 al. 1 et 2 LTF ). L'intimé 2 n'ayant pas été invité à procéder, il n'y a pas lieu de lui 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