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153/2020 vom 28. April 2020</w:t>
      </w:r>
    </w:p>
    <w:p>
      <w:r>
        <w:t>Bundesgericht, 2020-04-28, FR</w:t>
      </w:r>
    </w:p>
    <w:p>
      <w:r>
        <w:rPr>
          <w:b/>
        </w:rPr>
        <w:t xml:space="preserve">Quelle: </w:t>
      </w:r>
      <w:r>
        <w:t>https://mcp.opencaselaw.ch/entscheid/bger_6B_153_2020</w:t>
      </w:r>
    </w:p>
    <w:p>
      <w:r>
        <w:t>FR: TF 6B 153/2020 du 28 avril 2020</w:t>
      </w:r>
    </w:p>
    <w:p>
      <w:r>
        <w:t>IT: TF 6B 153/2020 del 28 aprile 2020</w:t>
      </w:r>
    </w:p>
    <w:p>
      <w:pPr>
        <w:pStyle w:val="Heading2"/>
      </w:pPr>
      <w:r>
        <w:t>Regeste</w:t>
      </w:r>
    </w:p>
    <w:p>
      <w:r>
        <w:t>Arbitraire; expulsion | Droit pénal (en général)</w:t>
      </w:r>
    </w:p>
    <w:p>
      <w:pPr>
        <w:pStyle w:val="Heading2"/>
      </w:pPr>
      <w:r>
        <w:t>Erwägungen</w:t>
      </w:r>
    </w:p>
    <w:p>
      <w:r>
        <w:rPr>
          <w:b/>
        </w:rPr>
        <w:t>E. 1</w:t>
      </w:r>
    </w:p>
    <w:p>
      <w:r>
        <w:t>Le recourant soutient que l'expulsion de l'intimé du territoire suisse aurait dû être ordonnée. Il reproche, à cet égard, à l'autorité précédente d'avoir apprécié les preuves et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Aux termes de l' art. 66a al. 1 CP , quelle que soit la quotité de la peine prononcée, le juge expulse de Suisse, pour une durée de cinq à quinze ans, l'étranger qui est condamné notamment pour brigandage (let. c), vol en lien avec une violation de domicile (let. d) ou infraction à l' art. 19 al. 2 LStup (let. o).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l'intimé a commis des infractions de brigandage, de vol en lien avec une violation de domicile, ainsi qu'une infraction à l' art. 19 al. 2 LStup , lesquelles tombent sous le coup de l' art. 66a al. 1 let . c, d et o CP. Il remplit donc a priori les conditions d'une expulsion, sous la réserve d'une application de l' art. 66a al. 2 CP , voire également des normes de droit international.</w:t>
      </w:r>
    </w:p>
    <w:p>
      <w:r>
        <w:rPr>
          <w:b/>
        </w:rPr>
        <w:t>E. 1.3.1</w:t>
      </w:r>
    </w:p>
    <w:p>
      <w:r>
        <w:t>La clause de rigueur permet de garantir le principe de la proportionnalité (cf. art. 5 al. 2 Cst. ; ATF 144 IV 332 consid. 3.3.1 p. 340; arrêt 6B_690/2019 du 4 décembre 2019 consid. 3.4.2 destiné à la publication). Elle doit être appliquée de manière restrictive ( ATF 144 IV 332 consid. 3.3.1 p. 340; arrêt 6B_690/2019 précité consid. 3.4.2 destiné à la publication). Selon la jurisprudence du Tribunal fédéral, il convient de s'inspirer des critères énoncés à l'art. 31 de l'ordonnance du 24 octobre 2007 relative à l'admission, au séjour et à l'exercice d'une activité lucrative (OASA; RS 142.201 [ ATF 144 IV 332 consid. 3.3.2 p. 340 s.; arrêt 6B_690/2019 précité consid. 3.4 destiné à la publication]).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6B_1417/2019 du 13 mars 2020 consid. 2.1.1).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6B_1417/2019 précité consid. 2.1.1; 6B_50/2020 du 3 mars 2020 consid. 1.3.1).</w:t>
      </w:r>
    </w:p>
    <w:p>
      <w:r>
        <w:rPr>
          <w:b/>
        </w:rPr>
        <w:t>E. 1.3.2</w:t>
      </w:r>
    </w:p>
    <w:p>
      <w:r>
        <w:t>Selon la jurisprudence, pour se prévaloir du respect au droit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6B_1417/2019 précité consid. 2.1.2). Un séjour légal de dix années suppose en principe une bonne intégration de l'étranger ( ATF 144 I 266 consid. 3.9 p. 277 s.).</w:t>
      </w:r>
    </w:p>
    <w:p>
      <w:r>
        <w:rPr>
          <w:b/>
        </w:rPr>
        <w:t>E. 1.3.3</w:t>
      </w:r>
    </w:p>
    <w:p>
      <w:r>
        <w:t>La cour cantonale a exposé que l'intimé était né en Valais et avait toujours résidé en Suisse, où il bénéficiait d'une autorisation d'établissement. L'intéressé ne parlait pas l'italien et n'entretenait aucun lien social, culturel ou familial avec son pays d'origine. Sa mère vivait en Suisse, de même que sa grand-mère paternelle, un oncle, une tante et des cousins notamment. Le père de l'intimé vivait en Espagne et son demi-frère au Portugal. Selon l'autorité précédente, une intégration en Italie serait nécessairement très difficile, puisque l'intéressé n'avait aucun point d'attache avec ce pays. Un renvoi de l'intimé en Italie placerait ce dernier dans une situation personnelle grave et constituerait une atteinte sensible au respect de sa vie privée au sens de l' art. 8 par. 1 CEDH , de sorte que la première condition cumulative de l' art. 66a al. 2 CP était réalisée.</w:t>
      </w:r>
    </w:p>
    <w:p>
      <w:r>
        <w:rPr>
          <w:b/>
        </w:rPr>
        <w:t>E. 1.3.4</w:t>
      </w:r>
    </w:p>
    <w:p>
      <w:r>
        <w:t>Cette appréciation doit être confirmée. L'expulsion d'un individu étant né et ayant passé toute son existence en Suisse, jusqu'à l'âge adulte, ne peut que causer à celui-ci une atteinte à son droit au respect de sa vie privée, cela indépendamment de sa situation personnelle et familiale, sauf à considérer que l'intéressé n'aurait, en raison de sa mauvaise intégration, aucune vie privée. Peu importe donc, à cet égard, que, comme le soutient le recourant, l'intimé ne dispose d'aucune formation professionnelle, n'ait pas d'emploi et n'exerce pas d'activités sociales particulières. Peu importe également que, selon l'affirmation du recourant, une tante de l'intimé puisse vivre en Italie, que ce dernier soit célibataire et sans enfant, ou encore qu'il soit en bonne santé.</w:t>
      </w:r>
    </w:p>
    <w:p>
      <w:r>
        <w:rPr>
          <w:b/>
        </w:rPr>
        <w:t>E. 1.4</w:t>
      </w:r>
    </w:p>
    <w:p>
      <w:r>
        <w:t>La première condition cumulative de l' art. 66a al. 2 CP étant remplie, il convient encore d'examiner si l'intérêt privé de l'intimé à demeurer en Suisse peut l'emporter sur l'intérêt public présidant à son expulsion.</w:t>
      </w:r>
    </w:p>
    <w:p>
      <w:r>
        <w:rPr>
          <w:b/>
        </w:rPr>
        <w:t>E. 1.4.1</w:t>
      </w:r>
    </w:p>
    <w:p>
      <w:r>
        <w:t>Dans l'appréciation du cas de rigueur, l' art. 66a al. 2 2 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(arrêts 6B_1417/2019 précité consid. 2.1.3; 6B_690/2019 précité consid. 3.4.4 destiné à la publication).</w:t>
      </w:r>
    </w:p>
    <w:p>
      <w:r>
        <w:rPr>
          <w:b/>
        </w:rPr>
        <w:t>E. 1.4.2</w:t>
      </w:r>
    </w:p>
    <w:p>
      <w:r>
        <w:t>L'autorité précédente a exposé que l'intimé avait toujours vécu en Suisse et y disposait de ses liens familiaux principaux. Celui-ci ne disposait d'aucun proche dans son pays d'origine, pouvant l'aider à s'y installer. L'intimé n'avait aucune formation, émargeait à l'aide sociale et subvenait principalement à ses besoins au moyen du produit de ses infractions. Son intégration était donc loin d'être exemplaire. Avant sa mise en détention préventive, il n'avait pas manifesté la ferme volonté de prendre part à la vie économique locale. L'intimé n'avait pas respecté l'ordre juridique suisse puisque, malgré son jeune âge, il avait déjà fait l'objet de deux condamnations auparavant. Cependant, l'intimé manifestait désormais la volonté de s'insérer dans la vie professionnelle suisse et avait pris des contacts pour trouver un engagement à sa sortie de prison. Pour la cour cantonale, l'intimé disposait d'un intérêt privé prépondérant à demeurer en Suisse, de sorte qu'il convenait de renoncer exceptionnellement à son expulsion.</w:t>
      </w:r>
    </w:p>
    <w:p>
      <w:r>
        <w:rPr>
          <w:b/>
        </w:rPr>
        <w:t>E. 1.4.3</w:t>
      </w:r>
    </w:p>
    <w:p>
      <w:r>
        <w:t>L'appréciation de la cour cantonale ne peut être suivie. Certes, les intérêts privés de l'intimé à demeurer en Suisse sont importants, puisque celui-ci y est né, y a grandi jusqu'à l'âge adulte et n'est, à l'inverse, aucunement intégré dans son pays d'origine, dont il ne parle pas la langue. Malgré ce qui précède, l'intégration de l'intimé en Suisse n'est pas réussie, loin s'en faut. Celui-ci n'a achevé aucune formation, n'a jamais travaillé durablement et tire ses revenus de l'assistance sociale ainsi que de ses activités illicites. Les projets professionnels de l'intimé - lequel proteste désormais de sa volonté de s'insérer dans la vie économique de son pays d'accueil - apparaissent pour le moins compromis, comme l'a d'ailleurs relevé la cour cantonale. L'intimé sortira en effet de prison sans formation ni expérience professionnelle significative. On voit mal qu'il puisse, comme il le souhaiterait lors de sa libération, embrasser une carrière de "conseiller financier". L'intérêt public présidant à l'expulsion de l'intimé s'avère considérable, compte tenu tout d'abord de la gravité et de la multiplicité des faits qui ont conduit à la présente condamnation. Malgré son jeune âge, l'intimé est installé dans la délinquance et s'est rendu coupable d'une impressionnante liste de méfaits, qui complète des antécédents déjà importants. Comme l'a relevé l'autorité précédente dans son examen de la culpabilité de l'intimé, ce dernier a, entre 2016 et 2017, commis plusieurs crimes, portant atteinte à différents biens juridiquement protégés, notamment l'intégrité corporelle, le patrimoine, la liberté, la sécurité des personnes et la santé publique. L'intéressé n'a en particulier pas hésité à se montrer brutal et violent, parfois pour des motifs futiles. Il a par ailleurs occupé un rôle sans cesse plus important dans un trafic international de stupéfiants, mû par la cupidité, l'intimé ayant consacré une partie de ses gains à jouer au casino ou à acquérir des habits de marque. A propos de l'implication de l'intimé dans un trafic de stupéfiants, il convient de rappeler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Dalia c. France du 19 février 1998, Recueil CourEDH 1998-I 76 § 54; cf. aussi arrêt 6B_50/2020 précité consid. 1.4.2). Il apparaît ainsi que l'intimé, qui manifeste depuis des années un mépris complet de l'ordre juridique suisse, constitue une sérieuse menace pour l'ordre et la sécurité publics, en raison de l'intense énergie délictueuse qu'il a pu déployer malgré son jeune âge. On peut encore signaler que la peine privative de liberté à laquelle l'intimé a été condamné dépasse largement une année, ce qui pourrait, cas échéant, permettre une révocation de l'autorisation d'établissement sur la base de l'art. 63 al. 1 let. a cum 62 al. 1 let. b LEI (cf. ATF 139 I 145 consid. 2.1 p. 147, selon lequel constitue une "peine privative de liberté de longue durée" au sens de l'art. 62 al. 1 let. b LEtr [depuis le 1er janvier 2019 : LEI] toute peine dépassant un an d'emprisonnement). Le comportement en détention de l'intimé n'apparaît quant à lui pas exemplaire, puisque la cour cantonale a signalé, dans le jugement attaqué, que celui-ci avait éprouvé de grandes difficultés d'adaptation, avait adopté une attitude peu respectueuse des règles et du personnel pénitentiaire et avait fait l'objet de 15 rapports disciplinaires. En définitive, compte tenu de la gravité des infractions sanctionnées, de la médiocre intégration de l'intimé en Suisse et de l'absence de perspectives concrètes dans ce pays, l'intérêt public présidant à son expulsion l'emporte sur l'intérêt privé de l'intéressé à y demeurer, même si l'intégration de ce dernier dans son pays d'origine ne sera pas facile. La seconde condition pour l'application de l' art. 66a al. 2 CP n'étant pas réalisée, la cour cantonale a violé le droit fédéral en renonçant à ordonner l'expulsion de l'intimé. Le recours doit donc être admis, le jugement attaqué annulé et la cause renvoyée à l'autorité cantonale afin que celle-ci ordonne l'expulsion de l'intimé du territoire suisse.</w:t>
      </w:r>
    </w:p>
    <w:p>
      <w:r>
        <w:rPr>
          <w:b/>
        </w:rPr>
        <w:t>E. 2</w:t>
      </w:r>
    </w:p>
    <w:p>
      <w:r>
        <w:t>Le recours doit être admis. L'intimé, qui succombe, supporte les frais judiciaires ( art. 66 al. 1 LTF ), fixés en tenant compte de sa situation. Il y a lieu d'accorder à Me Sébastien Fanti, désigné en qualité d'avocat d'office de l'intimé, une indemnité pour son activité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