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151/2022 vom 10. November 2022</w:t>
      </w:r>
    </w:p>
    <w:p>
      <w:r>
        <w:t>Bundesgericht, 2022-11-10, FR</w:t>
      </w:r>
    </w:p>
    <w:p>
      <w:r>
        <w:rPr>
          <w:b/>
        </w:rPr>
        <w:t xml:space="preserve">Quelle: </w:t>
      </w:r>
      <w:r>
        <w:t>https://mcp.opencaselaw.ch/entscheid/bger_6B_151_2022</w:t>
      </w:r>
    </w:p>
    <w:p>
      <w:r>
        <w:t>FR: TF 6B 151/2022 du 10 novembre 2022</w:t>
      </w:r>
    </w:p>
    <w:p>
      <w:r>
        <w:t>IT: TF 6B 151/2022 del 10 novembre 2022</w:t>
      </w:r>
    </w:p>
    <w:p>
      <w:pPr>
        <w:pStyle w:val="Heading2"/>
      </w:pPr>
      <w:r>
        <w:t>Regeste</w:t>
      </w:r>
    </w:p>
    <w:p>
      <w:r>
        <w:t>Fixation de la peine (escroquerie par métier, etc.); interdiction d'exercer une acitvité | Droit pénal (en général)</w:t>
      </w:r>
    </w:p>
    <w:p>
      <w:pPr>
        <w:pStyle w:val="Heading2"/>
      </w:pPr>
      <w:r>
        <w:t>Erwägungen</w:t>
      </w:r>
    </w:p>
    <w:p>
      <w:r>
        <w:rPr>
          <w:b/>
        </w:rPr>
        <w:t>E. 1</w:t>
      </w:r>
    </w:p>
    <w:p>
      <w:r>
        <w:t>Le recourant invoque une violation de l' art. 49 CP ainsi qu'un défaut de motivation suffisante au regard de l' art. 41 al. 2 CP .</w:t>
      </w:r>
    </w:p>
    <w:p>
      <w:r>
        <w:rPr>
          <w:b/>
        </w:rPr>
        <w:t>E. 1.1</w:t>
      </w:r>
    </w:p>
    <w:p>
      <w:r>
        <w:t>Conformément à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voir aussi ATF 127 IV 101 consid. 2b; arrêt 6B_762/2021 du 8 juin 2022 consid. 3.1). La jurisprudence avait admis que le juge puisse s'écarter de cette méthode concrète dans plusieurs configurations (cf. ATF 144 IV 217 consid. 2.4; 144 IV 313 consid. 1.1.2 et les références citées), notamment lorsque les différentes infractions étaient étroitement liées sur les plans matériel et temporel, de sorte qu'elles ne pouvaient être séparées et être jugées pour elles seules (arrêts 6B_166/2019 du 6 août 2019 consid. 3.2.4; 6B_1216/2017 du 11 juin 2018 consid. 1.1.1). Au vu des critiques formulées quant à l'insécurité que ces exceptions créaient et afin d'assurer une application uniforme de l' art. 49 al. 1 CP , le Tribunal fédéral est toutefois revenu sur ce point en soulignant que cette disposition ne prévoyait aucune exception (cf. ATF 144 IV 217 consid. 3.5.4; 144 IV 313 consid. 1.1.2; arrêt 6B_166/2019 précité consid. 3.2.4).</w:t>
      </w:r>
    </w:p>
    <w:p>
      <w:r>
        <w:rPr>
          <w:b/>
        </w:rPr>
        <w:t>E. 1.2</w:t>
      </w:r>
    </w:p>
    <w:p>
      <w:r>
        <w:t>L'exigence, pour appliquer l' art. 49 al. 1 CP , que les peines soient de même genre, implique que le juge examine, pour chaque infraction commise, la nature de la peine à prononcer pour chacune d'elle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w:t>
      </w:r>
    </w:p>
    <w:p>
      <w:r>
        <w:rPr>
          <w:b/>
        </w:rPr>
        <w:t>E. 1.3</w:t>
      </w:r>
    </w:p>
    <w:p>
      <w:r>
        <w:t>Le recourant a commis les infractions qui lui sont reprochées avant l'entrée en vigueur de la réforme du droit des sanctions le 1er janvier 2018. Aux termes de l' art. 41 al. 1 CP dans sa teneur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Selon l'al. 2 CP, le juge doit motiver le choix de la courte peine privative de liberté ferme de manière circonstanciée. Cette disposition est applicable en l'espèce sans égard à la modification entrée en vigueur le 1er janvier 2018, laquelle n'apparaît pas plus favorable à l'intéressé (cf. art. 2 al. 2 CP ; arrêts 6B_231/2021 du 16 août 2022 consid. 6.1.3; 6B_279/2019 du 14 mai 2019 consid. 2.1 et 6B_887/2017 du 8 mars 2018 consid. 4.1).</w:t>
      </w:r>
    </w:p>
    <w:p>
      <w:r>
        <w:rPr>
          <w:b/>
        </w:rPr>
        <w:t>E. 1.4</w:t>
      </w:r>
    </w:p>
    <w:p>
      <w:r>
        <w:t>Dans la conception de la partie générale du code pénal en vigueur jusqu'à la fin de l'année 2017,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sanctions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 ATF 134 IV 97 consid. 4). Lorsque des motifs de prévention spéciale permettent de considérer qu'une peine pécuniaire ou une peine de travail d'intérêt général seraient d'emblée inadaptées, l'autorité peut prononcer une peine privative de liberté de courte durée (arrêts 6B_231/2021 précité consid. 6.1.3; 6B_279/2019 précité consid. 2.2; 6B_887/2017 précité consid. 4.2).</w:t>
      </w:r>
    </w:p>
    <w:p>
      <w:r>
        <w:rPr>
          <w:b/>
        </w:rPr>
        <w:t>E. 1.5</w:t>
      </w:r>
    </w:p>
    <w:p>
      <w:r>
        <w:t>La cour cantonale a jugé que les infractions les plus graves étaient la dénonciation calomnieuse, pour laquelle l' art. 303 ch. 1 CP prévoit une peine privative de liberté ou une peine pécuniaire, et l'escroquerie par métier, pour laquelle l' art. 146 ch. 2 CP prévoit une peine privative de liberté de 10 ans au plus ou une peine pécuniaire de 90 jours-amende au moins. Selon la cour cantonale, ces deux infractions étaient au surplus intimement liées, ce qui justifiait de les examiner ensemble pour déterminer la peine de base. A l'instar des premiers juges, la cour cantonale a par ailleurs estimé que le prononcé d'une peine privative de liberté était indispensable pour sanctionner chacune des nombreuses infractions retenues à l'encontre du recourant, afin de lui permettre de prendre conscience de la gravité de ses actes, et réduire le risque de récidive. La cour cantonale a considéré que, pour l'escroquerie par métier et la dénonciation calomnieuse, la culpabilité du recourant devait être qualifiée d'objectivement plutôt lourde, compte tenu notamment des motifs purement égoïstes et financiers pour lesquels il avait agi. Elle a ensuite tenu compte de la diminution de la responsabilité retenue par l'expert, de sorte que la culpabilité moyennement lourde à lourde du recourant est passée à une culpabilité moyenne. Elle en a conclu qu'une peine privative de liberté de l'ordre de 24 mois serait adéquate pour la seule condamnation pour escroquerie par métier et dénonciation calomnieuse. La cour cantonale a ensuite considéré qu'à cette condamnation s'ajoutait celle pour escroquerie commise au préjudice des enfants de E.________ et celle commise au préjudice de B.________. S'agissant de cette dernière infraction,elle a considéré que la culpabilité du recourant devait être qualifiée de particulièrement blâmable, le recourant ayant agi par seul appât du gain et ayant fait preuve d'une absence crasse d'empathie envers sa victime qu'il avait délestée d'une somme de 30'000 fr. alors même qu'il était son employeur depuis peu. La cour cantonale a considéré que les autres infractions commises par le recourant, à savoir la violation de l'obligation de tenir une comptabilité, le faux dans les titres - portant sur la falsification d'un acte officiel, à savoir une attestation de l'office des poursuites -, et la violation d'une obligation d'entretien, n'étaient pas non plus dénuées de gravité; une culpabilité moyennement lourde à lourde devait également être retenue pour ces infractions. Compte tenu de la diminution de responsabilité retenue par l'expert psychiatre, cette culpabilité serait cependant réduite à une culpabilité moyenne. La cour cantonale a ensuite relevé que les facteurs liés à l'auteur lui-même ne parlaient pas en faveur du recourant, dans la mesure notamment où les antécédents de celui-ci étaient mauvais, que la collaboration avait été très mauvaise et qu'il faisait preuve d'une attitude arrogante, ce qui semblait indiquer qu'il n'avait toujours pas pris conscience de la gravité de ses actes. Le recourant ayant, pour la première fois, expliqué avoir entrepris de rembourser ses victimes lors de la séance du 30 novembre 2021, la cour cantonale a tenu compte - de manière modérée - d'un début de prise de conscience. Enfin, la cour cantonale a relevé que les faits remontaient pour partie à 2008. Cependant, dans la mesure où le recourant ne s'était pas bien comporté dans l'intervalle puisqu'il avait commis de nombreuses autres infractions depuis lors, ayant fait l'objet de 8 condamnations entre le 22 juin 2011 et le 4 juillet 2019, il n'était pas question d'atténuer la peine en application de l' art. 48 let . e CP. Elle a néanmoins retenu en faveur du recourant le fait que depuis cette dernière date, il n'avait plus fait l'objet de nouvelles condamnations. Au vu de l'ensemble de ces éléments, elle a jugé qu'il se justifiait d'augmenter la peine de base retenue et de condamner le recourant à une peine privative de liberté de 36 mois.</w:t>
      </w:r>
    </w:p>
    <w:p>
      <w:r>
        <w:rPr>
          <w:b/>
        </w:rPr>
        <w:t>E. 1.6</w:t>
      </w:r>
    </w:p>
    <w:p>
      <w:r>
        <w:t>Le recourant reproche à la cour cantonale de ne pas avoir examiné pour chaque infraction, en fonction de l'ensemble des circonstances atténuantes comme aggravantes, si une peine pécuniaire ou une peine privative de liberté devait être prononcée. En particulier, il fait grief à la cour cantonale de n'avoir à aucun moment analysé ou admis la possibilité de prononcer une peine pécuniaire pour réprimer les infractions d'escroquerie, de violation de l'obligation de tenir une comptabilité, de faux dans les titres ainsi que de violation d'une obligation d'entretien. En l'espèce, la cour cantonale a retenu qu'une peine privative de liberté devrait être prononcée pour chacune des infractions afin de permettre au recourant de prendre conscience de la gravité de ses actes et réduire le risque de récidive. Si la motivation de la cour cantonale concernant le choix du genre de peine est certes succincte, on comprend de l'arrêt attaqué que, pour les infractions d'escroquerie et de violation de l'obligation de tenir une comptabilité notamment, seule une peine privative de liberté pouvait être prononcée pour des motifs de prévention spéciale, compte tenu des très nombreux antécédents du recourant, notamment en matière d'infractions contre le patrimoine (cf. infra consid. B.g). S'agissant de l'infraction de violation d'une obligation d'entretien, le recourant est mal venu d'arguer qu'une peine privative de liberté ne permettrait pas de réduire le risque de récidive, vu qu'il devrait purger une peine et n'aurait plus de revenu, dans la mesure où il a déjà été condamné à deux reprises pour cette infraction à des peines pécuniaires, ce qui ne l'a pas empêché de récidiver. Le grief du recourant est rejeté.</w:t>
      </w:r>
    </w:p>
    <w:p>
      <w:r>
        <w:rPr>
          <w:b/>
        </w:rPr>
        <w:t>E. 1.7</w:t>
      </w:r>
    </w:p>
    <w:p>
      <w:r>
        <w:t>Le recourant fait grief à la cour cantonale d'avoir traité ensemble les infractions de dénonciation calomnieuse et d'escroquerie par métier et de ne pas avoir fixé une peine de base pour l'infraction la plus grave, soit la dénonciation calomnieuse. Comme le relève le recourant à juste titre, la cour cantonale n'aurait pas dû traiter ensemble l'infraction de dénonciation calomnieuse et celle d'escroquerie par métier. En effet, une fois qu'elle avait déterminé le genre de peine à prononcer pour chaque infraction, elle devait, conformément à la jurisprudence, dans un premier temps, fixer une peine de base pour l'infraction abstraitement la plus grave, soit en l'occurrence la dénonciation calomnieuse et, dans un second temps, augmenter cette peine pour sanctionner chacune des autres infractions - soit l'escroquerie par métier puis chaque autre infraction pour laquelle une peine privative de liberté était envisagée -, en tenant là aussi compte de toutes les circonstances y relatives. Il s'ensuit que c'est également à tort que la cour cantonale a augmenté la peine de 12 mois (la portant à 36 mois) pour "l'ensemble des autres infractions", sans mentionner de combien la peine était augmentée pour chacune des infractions (escroquerie, violation de l'obligation de tenir une comptabilité, faux dans les titres et violation d'une obligation d'entretien). Le recours doit dès lors être admis sur ce point et la cause renvoyée à la cour cantonale afin qu'elle fixe la peine à nouveau conformément à l' art. 49 al. 1 CP et à la jurisprudence y relative.</w:t>
      </w:r>
    </w:p>
    <w:p>
      <w:r>
        <w:rPr>
          <w:b/>
        </w:rPr>
        <w:t>E. 2</w:t>
      </w:r>
    </w:p>
    <w:p>
      <w:r>
        <w:t>Le recourant se plaint d'une violation de l' art. 47 CP et d'un abus du pouvoir d'appréciation de la cour cantonale.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2.2</w:t>
      </w:r>
    </w:p>
    <w:p>
      <w:r>
        <w:t>Selon l' art. 19 al. 2 CP ,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arrêts 6B_761/2021 du 23 mars 2022 consid. 1.7.1; 6B_1035/2021 du 16 décembre 2021 consid. 2.2).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 ATF 136 IV 55 consid. 5.7; arrêts 6B_761/2021 précité consid. 1.7.1; 6B_1035/2021 précité consid. 2.2; 6B_59/2021 du 12 novembre 2021 consid. 5.1).</w:t>
      </w:r>
    </w:p>
    <w:p>
      <w:r>
        <w:rPr>
          <w:b/>
        </w:rPr>
        <w:t>E. 2.3</w:t>
      </w:r>
    </w:p>
    <w:p>
      <w:r>
        <w:t>Il ressort de l'arrêt attaqué que l'expert a estimé que la capacité du recourant d'apprécier le caractère illicite de ses actes n'était pas diminuée, mais a retenu une diminution légère de la capacité du recourant de se déterminer d'après cette appréciation. Ainsi, la cour cantonale a bien tenu compte de cette légère diminution de la responsabilité retenue par cet expert, conformément à la jurisprudence (cf. supra consid. 2.2), lorsqu'elle a considéré que la culpabilité moyennement lourde à lourde du recourant passait à une culpabilité moyenne, tant pour les infractions d'escroquerie par métier et de dénonciation calomnieuse que pour les autres infractions. Pour le surplus, c'est en vain que le recourant soutient que son diabète important, couplé avec une consommation excessive d'alcool, lui causait des états comateux, dès lors que cet élément n'a pas été omis dans l'arrêt attaqué. En outre, dans la mesure où il soutient que ses capacités cognitives ont été altérées de manière importante, il ne fait qu'opposer sa propre appréciation à celle dûment motivée de l'expert, lequel a conclu à une légère diminution de sa capacité de se déterminer. Le grief est rejeté dans la mesure où il est recevable.</w:t>
      </w:r>
    </w:p>
    <w:p>
      <w:r>
        <w:rPr>
          <w:b/>
        </w:rPr>
        <w:t>E. 3</w:t>
      </w:r>
    </w:p>
    <w:p>
      <w:r>
        <w:t>Le recourant reproche à la cour cantonale de ne pas avoir appliqué les circonstances du repentir sincère ( art. 48 let . d CP) et de la diminution de l'intérêt à punir ( art. 48 let . e CP).</w:t>
      </w:r>
    </w:p>
    <w:p>
      <w:r>
        <w:rPr>
          <w:b/>
        </w:rPr>
        <w:t>E. 3.1.1</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arrêts 6B_1499/2021 du 15 août 2022 consid. 3.1; 6B_1368/2016 du 15 novembre 2017 consid. 5.1 non publié aux ATF 143 IV 469 ).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6B_1499/2021 précité consid. 3.1; 6B_719/2019 du 23 septembre 2019 consid. 2.2; 6B_1368/2016 précité consid. 5.1). Celui qui ne consent à faire un effort particulier que sous la menace de la sanction à venir ne manifeste pas un repentir sincère, il s'inspire de considérations tactiques et ne mérite donc pas d'indulgence particulière (arrêts 6B_1499/2021 précité consid. 3.1; 6B_443/2020 du 11 juin 2020 consid. 1.2.2; 6B_719/2019 précité consid. 2.2 et 6B_1276/2015 du 29 juin 2016 consid. 1.3.1 et les références citées). Savoir si le geste du prévenu dénote un esprit de repentir ou repose sur des considérations tactiques est une question d'appréciation des faits (cf. arrêts 6B_1499/2021 précité consid. 3.1; 6B_1368/2016 précité consid. 5.1; 6B_339/2014 du 27 novembre 2014 consid. 2.1 non publié aux ATF 140 IV 145 ).</w:t>
      </w:r>
    </w:p>
    <w:p>
      <w:r>
        <w:rPr>
          <w:b/>
        </w:rPr>
        <w:t>E. 3.1.2</w:t>
      </w:r>
    </w:p>
    <w:p>
      <w:r>
        <w:t>En l'espèce, il ressort des faits de l'arrêt attaqué - dont le recourant ne démontre pas l'arbitraire - que la collaboration du recourant a été très mauvaise et qu'il a fait preuve d'une attitude arrogante, ce qui semble indiquer qu'il n'a toujours pas pris conscience de la gravité de ses actes. En tant qu'il soutient qu'il a pris conscience de ses erreurs et des conséquences de son comportement, il oppose sa propre appréciation à celle de la cour cantonale sans démontrer en quoi celle-ci serait arbitraire. Le seul fait qu'il se soit engagé à rembourser les montants qu'il doit à certains plaignants et que ceux-ci aient retiré leur plainte ne suffit pas à admettre la circonstance atténuante du repentir sincère, étant rappelé que celle-ci n'est réalisée que si l'auteur a adopté un comportement particulier, désintéressé et méritoire, ce qui n'apparaît pas être le cas en l'espèce. La cour cantonale n'a dès lors pas violé le droit fédéral en ne retenant pas la circonstance atténuante du repentir sincère. Le grief est rejeté dans la mesure où il est recevable.</w:t>
      </w:r>
    </w:p>
    <w:p>
      <w:r>
        <w:rPr>
          <w:b/>
        </w:rPr>
        <w:t>E. 3.2.1</w:t>
      </w:r>
    </w:p>
    <w:p>
      <w:r>
        <w:t>Aux termes de l' art. 48 let .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w:t>
      </w:r>
    </w:p>
    <w:p>
      <w:r>
        <w:rPr>
          <w:b/>
        </w:rPr>
        <w:t>E. 3.2.2</w:t>
      </w:r>
    </w:p>
    <w:p>
      <w:r>
        <w:t>En l'espèce, contrairement à ce que semble penser le recourant, la cour cantonale a tenu compte du fait que les faits étaient anciens, certains datant de 2008, mais elle a considéré que le recourant ne s'était pas bien comporté dans l'intervalle puisqu'il avait commis de nombreuses infractions depuis lors, ayant fait l'objet de 8 condamnations entre le 22 juin 2011 et le 4 juillet 2019. Le raisonnement de la cour cantonale ne prête pas le flanc à la critique. Dans la mesure où l'une des conditions de l' art. 48 let . e CP fait défaut, c'est à bon droit que la cour cantonale n'a pas appliqué cette disposition.</w:t>
      </w:r>
    </w:p>
    <w:p>
      <w:r>
        <w:rPr>
          <w:b/>
        </w:rPr>
        <w:t>E. 4</w:t>
      </w:r>
    </w:p>
    <w:p>
      <w:r>
        <w:t>Considérant qu'il aurait dû être condamné à une peine maximale de 24 mois de peine privative de liberté ainsi qu'à une peine pécuniaire, le recourant soutient qu'un pronostic défavorable ne pouvait manifestement pas être retenu et qu'un sursis total aurait dû lui être octroyé. Compte tenu de l'admission du grief du recourant relatif à la fixation de la peine, la question du sursis devra être à nouveau examinée par la cour cantonale dans le cadre du renvoi. Le grief est donc sans objet.</w:t>
      </w:r>
    </w:p>
    <w:p>
      <w:r>
        <w:rPr>
          <w:b/>
        </w:rPr>
        <w:t>E. 5</w:t>
      </w:r>
    </w:p>
    <w:p>
      <w:r>
        <w:t>Invoquant une violation de l' art. 67 CP , le recourant s'en prend à la mesure d'interdiction d'exercer sa profession dans le domaine de l'immobilier et de la construction de manière indépendante, en tant qu'organe d'une personne morale ou d'une société commerciale ou au titre de mandataire ou de représentant d'un tiers pour une durée de 5 ans. Il se plaint également d'un défaut de motivation. Il convient d'entrer en matière sur ces griefs, par souci d'économie de procédure.</w:t>
      </w:r>
    </w:p>
    <w:p>
      <w:r>
        <w:rPr>
          <w:b/>
        </w:rPr>
        <w:t>E. 5.1</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5.2</w:t>
      </w:r>
    </w:p>
    <w:p>
      <w:r>
        <w:t>Selon l' art. 67 al. 1 CP , dans la version en vigueur au moment des faits, si l'auteur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 art. 67 al. 2 CP ). La principale condition permettant d'ordonner cette mesure est le risque de nouveaux abus dans l'exercice de l'activité professionnelle, industrielle ou commerciale. Tout risque d'abus ne suffit cependant pas. Le tribunal doit examiner si la mesure est nécessaire, appropriée et proportionnée (arrêts 6B_123/2020 du 26 novembre 2020 consid. 9.1; 6B_447/2014 du 30 octobre 2014 consid. 4.2; 6B_970/2013 du 24 juin 2014, consid. 9; 6B_1010/2013 du 17 février 2014 consid. 4.1; message du 21 septembre 1998 concernant la modification du Code pénal suisse et du Code pénal militaire ainsi qu'une loi fédérale régissant la condition pénale des mineurs, FF 1999 1787 p. 1912). L'atteinte aux droits de la personnalité qui résulte de la mesure pour l'auteur ne doit pas être disproportionnée au regard de la vraisemblance qu'il commette de nouvelles infractions et de leur gravité ( art. 56 al. 2 CP ). Un risque de récidive qualifié de moyen suffit pour fonder une interdiction d'exercer une profession. La loi n'exige pas que le risque soit qualifié ("s'il y a lieu de craindre de nouveaux abus") (arrêts 6B_123/2020 précité consid. 9.1; 6B_447/2014 précité consid. 4.3).</w:t>
      </w:r>
    </w:p>
    <w:p>
      <w:r>
        <w:rPr>
          <w:b/>
        </w:rPr>
        <w:t>E. 5.3</w:t>
      </w:r>
    </w:p>
    <w:p>
      <w:r>
        <w:t>La cour cantonale s'est ralliée à l'argumentation développée par le Tribunal pénal économique, qu'elle a faite sienne (cf. art. 82 al. 4 CPP ). Elle a retenu qu'un pronostic défavorable devait être posé quant au comportement futur du recourant. Si celui-ci reprenait ses activités professionnelles dans l'immobilier et la construction, que ce soit en tant qu'administrateur de sociétés commerciales ou dans le cadre d'une raison individuelle, de nouveaux abus étaient à craindre, compte tenu en particulier des condamnations antérieures pour des infractions de type économique, ainsi que de l'attitude générale du recourant qui indiquait qu'il n'avait pas pris conscience de la gravité de ses actes, de sorte que le risque de récidive devait être considéré comme important. La cour cantonale a encore relevé que, lors de la séance du 30 novembre 2021, le recourant avait exposé avoir abandonné l'activité viticole, pour laquelle il avait créé une société viticole en novembre 2015, sous forme de société anonyme, pour se tourner à nouveau vers le courtage immobilier. Or, il ressortait de sa présentation que, dans le cadre de cette activité, exercée en tant qu'employé d'une société dont il était également administrateur avec signature individuelle, il favorisait certains de ses créanciers au détriment d'autres. Il découlait en outre de ses explications que sa manière de procéder était loin d'être claire et représentait une porte ouverte à de nouveaux abus. La cour cantonale en a conclu que le pronostic défavorable n'était pas tempéré par l'évolution récente de l'activité professionnelle du recourant, de sorte que le risque de récidive devait toujours être considéré comme important. Dans ces conditions, il se justifiait d'interdire au recourant d'exercer une activité dans le domaine de l'immobilier et de la construction de manière indépendante.</w:t>
      </w:r>
    </w:p>
    <w:p>
      <w:r>
        <w:rPr>
          <w:b/>
        </w:rPr>
        <w:t>E. 5.4</w:t>
      </w:r>
    </w:p>
    <w:p>
      <w:r>
        <w:t>Le recourant reproche à la cour cantonale de n'avoir posé que des questions d'ordre général et en particulier de ne pas lui avoir demandé de précisions quant à la portée des mandats de courtage immobilier dont il se prévalait.</w:t>
      </w:r>
    </w:p>
    <w:p>
      <w:r>
        <w:rPr>
          <w:b/>
        </w:rPr>
        <w:t>E. 5.4.1</w:t>
      </w:r>
    </w:p>
    <w:p>
      <w:r>
        <w:t>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 Le fait que le prévenu eût déjà été interrogé, dans le cadre de la procédure de première instance, sur sa personne et sur l'accusation, ne rend pas son audition superflue lors de la procédure orale d'appel. D'une part, même s'il figure dans une section intitulée "procédure probatoire", l' art. 341 al. 3 CPP ne sert pas exclusivement à des fins de preuves, mais prend également en considération la position du prévenu. Il garantit à ce dernier un droit personnel de participation dans la procédure pénale conduite à son encontre, en tant que composante du droit d'être entendu, et empêche que le prévenu ne soit réduit à être l'objet de l'activité de l'État. D'autre part, l'interrogatoire du prévenu revêt une importance particulière s'agissant de la preuve de la culpabilité et du prononcé de la peine. L'intensité de l'interrogatoire dépend en particulier du degré de gravité de l'acte d'accusation ainsi que de l'ensemble des preuves. Dans la mesure où le prévenu a déjà été interrogé sur l'accusation lors de la procédure de première instance, il n'est pas nécessaire de l'interroger de façon aussi détaillée au cours des débats d'appel. Ainsi,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arrêts 6B_155/2019 du 29 mars 2019 consid. 3.1; 6B_903/2018 du 14 décembre 2018 consid. 3.1 non publié aux ATF 144 IV 383 ). Il appartient à la direction de la procédure de donner au prévenu la possibilité de s'exprimer sur les accusations portées contre lui et de faire valoir les circonstances qui pourraient servir sa défense ainsi que la clarification de l'état de fait. Le fait que la défense ne demande pas l'interrogatoire du prévenu durant les débats d'appel n'y change rien, car il appartient à l'autorité d'appel de garantir d'office une administration des preuves conforme à la loi. Les parties n'ont pas à pallier, par des questions, une absence d'interrogatoire par l'autorité d'appel ( ATF 143 IV 288 consid. 1.4.3; arrêts 6B_155/2019 précité consid. 3.1; 6B_903/2018 du 14 décembre 2018 consid. 3.1 non publié aux ATF 144 IV 383 ). Cette dernière ne peut en principe renoncer à interroger le prévenu que lorsque l'état de fait est incontesté et ne fait pas l'objet du recours ( ATF 143 IV 288 consid. 1.4.4; arrêts 6B_155/2019 précité consid. 3.1; 6B_1266/2018 précité consid. 2.1 et les références citées).</w:t>
      </w:r>
    </w:p>
    <w:p>
      <w:r>
        <w:rPr>
          <w:b/>
        </w:rPr>
        <w:t>E. 5.4.2</w:t>
      </w:r>
    </w:p>
    <w:p>
      <w:r>
        <w:t>En l'espèce, le recourant avait déjà été interrogé lors des débats d'appel du 3 mai 2017, notamment par rapport aux changements intervenus dans sa situation personnelle depuis le 29 septembre 2015 et sur son activité actuelle. Il a été interrogé à nouveau par la cour cantonale le 17 décembre 2018 puis, lors de la séance du 30 novembre 2021, notamment sur les changements dans sa situation personnelle et financière depuis le 17 octobre 2018 (cf. séance du 30 novembre 2021, pièces 391 à 397 du dossier cantonal; art. 105 al. 2 LTF ). Dans ce cadre, la cour cantonale lui a posé plusieurs questions sur son activité professionnelle, soit son exploitation de la société M.________ SA, avec laquelle il a notamment déclaré faire du courtage, qu'il percevait un revenu de 5'000 fr. qui permettait de payer l'AVS à titre privé et la caisse-maladie et qu'une partie de la commission de courtage serait versée à D.________. Il apparaît ainsi que l'interrogatoire respecte, dans les circonstances du cas d'espèce, les exigences du droit fédéral, le recourant ayant ainsi eu suffisamment l'occasion de s'exprimer notamment sur ses opérations de courtage. Son grief est rejeté.</w:t>
      </w:r>
    </w:p>
    <w:p>
      <w:r>
        <w:rPr>
          <w:b/>
        </w:rPr>
        <w:t>E. 5.5</w:t>
      </w:r>
    </w:p>
    <w:p>
      <w:r>
        <w:t>Le recourant soutient ensuite qu'il n'était pas suffisant pour la cour cantonale de se référer au jugement du tribunal de première instance, dès lors que cette opinion avait été rendue en 2015, soit six ans auparavant. Il soutient également que la mesure constitue une atteinte disproportionnée aux droits de sa personnalité et reproche en particulier à la cour cantonale d'avoir retenu qu'il n'avait pas pris conscience de ses actes. Il se réfère à cet égard à l'expertise du Dr N.________ qui relève qu'il était pleinement conscient de sa faute et que la probabilité qu'il commette de nouvelles infractions du même genre serait très faible.</w:t>
      </w:r>
    </w:p>
    <w:p>
      <w:r>
        <w:rPr>
          <w:b/>
        </w:rPr>
        <w:t>E. 5.5.1</w:t>
      </w:r>
    </w:p>
    <w:p>
      <w:r>
        <w:t>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145 II 70 consid. 5.5; 142 IV 49 consid. 2.1.3; 138 III 193 consid. 4.3.1; 136 II 539 consid. 3.2; 6B_1271/2021 du 12 septembre 2022 consid. 1.2).</w:t>
      </w:r>
    </w:p>
    <w:p>
      <w:r>
        <w:rPr>
          <w:b/>
        </w:rPr>
        <w:t>E. 5.5.2</w:t>
      </w:r>
    </w:p>
    <w:p>
      <w:r>
        <w:t>Le jugement de première instance auquel la cour cantonale s'est référée retient que le recourant a commis les infractions reprochées dans le cadre de son activité professionnelle déployée à la tête de sociétés. En tant qu'entrepreneur général, il s'est mis, par ses détournements dans l'impossibilité de poursuivre les constructions. Il a également monté une escroquerie pour abuser de son propre employé et a dirigé ses sociétés sans tenir la moindre comptabilité, procédé qui représente un risque pour les créanciers, lesdites sociétés ayant d'ailleurs toutes fait faillite. Les premiers juges ont également relevé à juste titre que le recourant avait agi de la sorte, malgré des condamnations précédentes pour des infractions de type économique, en 2007, 2009 et 2010. Ils ont retenu que de nouveaux abus étaient à craindre, si le recourant entendait reprendre ses anciennes activités professionnelles dans l'immobilier et la construction.</w:t>
      </w:r>
    </w:p>
    <w:p>
      <w:r>
        <w:rPr>
          <w:b/>
        </w:rPr>
        <w:t>E. 5.5.3</w:t>
      </w:r>
    </w:p>
    <w:p>
      <w:r>
        <w:t>En l'espèce, comme le relève le recourant lui-même, la cour cantonale a expressément examiné l'évolution récente de l'activité professionnelle du recourant pour voir si elle pouvait tempérer le pronostic défavorable posé (cf. supra consid. 5.3). Elle ne s'est dès lors pas contentée de se référer au jugement du tribunal de première instance. Par ailleurs, c'est également à bon droit qu'elle a, dans le cadre de l'examen du risque de récidive, tenu compte notamment des nombreuses condamnations antérieures du recourant pour des infractions de type économique. Cependant, force est de constater que le recourant a fait l'objet d'une expertise psychiatrique et que, dans son rapport du 23 août 2020, le Dr N.________ a conclu, s'agissant du risque de récidive du recourant, que "la probabilité qu'il commette de nouveau un acte de ce genre [était] très faible, pour ne pas dire qu'il n'exist[ait] plus" (cf. pièce 242 du dossier cantonal; art. 105 al. 2 CP ). Or, la cour cantonale n'a pas mentionné ce rapport d'expertise dans sa motivation relative au risque de récidive et n'a pas, conformément à la jurisprudence précitée (cf. supra consid. 5.5.1), indiqué les motifs pour lesquels elle ne suivait pas les conclusions de cet expert s'agissant du risque de récidive du recourant. Il s'ensuit que le recours doit également être admis sur ce point et la cause renvoyée à la cour cantonale pour qu'elle complète sa motivation sous cet angle (cf. art. 112 al. 1 let. b et al. 3 LTF ) et se prononce à nouveau sur cette question. Il n'est dès lors pas nécessaire d'examiner les autres griefs soulevés par le recourant à l'encontre de l'interdiction d'exercer une activité.</w:t>
      </w:r>
    </w:p>
    <w:p>
      <w:r>
        <w:rPr>
          <w:b/>
        </w:rPr>
        <w:t>E. 6</w:t>
      </w:r>
    </w:p>
    <w:p>
      <w:r>
        <w:t>Au vu de ce qui précède, le recours doit être partiellement admis, l'arrêt attaqué annulé et la cause renvoyée à la cour cantonale pour qu'elle rende une nouvelle décision dans le sens des considérants (cf. supra consid. 1.7 et 5.5.3). Pour le surplus, le recours est rejeté dans la mesure où il est recevable. Le recourant, qui obtient partiellement gain de cause, supportera une partie des frais judiciaires ( art. 66 al. 1 LTF ) et peut prétendre à des dépens,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