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6B_151/2016 vom 2. März 2016</w:t>
      </w:r>
    </w:p>
    <w:p>
      <w:r>
        <w:t>Bundesgericht, 2016-03-02, FR</w:t>
      </w:r>
    </w:p>
    <w:p>
      <w:r>
        <w:rPr>
          <w:b/>
        </w:rPr>
        <w:t xml:space="preserve">Quelle: </w:t>
      </w:r>
      <w:r>
        <w:t>https://mcp.opencaselaw.ch/entscheid/bger_6B_151_2016</w:t>
      </w:r>
    </w:p>
    <w:p>
      <w:r>
        <w:t>FR: TF 6B_151/2016 du 2 mars 2016</w:t>
      </w:r>
    </w:p>
    <w:p>
      <w:r>
        <w:t>IT: TF 6B_151/2016 del 2 marzo 2016</w:t>
      </w:r>
    </w:p>
    <w:p>
      <w:pPr>
        <w:pStyle w:val="Heading2"/>
      </w:pPr>
      <w:r>
        <w:t>Erwägungen</w:t>
      </w:r>
    </w:p>
    <w:p>
      <w:r>
        <w:rPr>
          <w:b/>
        </w:rPr>
        <w:t>E. 1</w:t>
      </w:r>
    </w:p>
    <w:p>
      <w:r>
        <w:t>Par courrier du 27 février 2016, X.________ a déclaré retirer le recours interjeté au Tribunal fédéral contre l'arrêt du Tribunal cantonal du canton de Fribourg, Cour d'appel pénal, du 11 janvier 2016.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