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6B_1515/2021 vom 17. Mai 2022</w:t>
      </w:r>
    </w:p>
    <w:p>
      <w:r>
        <w:t>Bundesgericht, 2022-05-17, FR</w:t>
      </w:r>
    </w:p>
    <w:p>
      <w:r>
        <w:rPr>
          <w:b/>
        </w:rPr>
        <w:t xml:space="preserve">Quelle: </w:t>
      </w:r>
      <w:r>
        <w:t>https://mcp.opencaselaw.ch/entscheid/bger_6B_1515_2021</w:t>
      </w:r>
    </w:p>
    <w:p>
      <w:r>
        <w:t>FR: TF 6B_1515/2021 du 17 mai 2022</w:t>
      </w:r>
    </w:p>
    <w:p>
      <w:r>
        <w:t>IT: TF 6B_1515/2021 del 17 maggio 2022</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rPr>
          <w:b/>
        </w:rPr>
        <w:t>E. 2</w:t>
      </w:r>
    </w:p>
    <w:p>
      <w:r>
        <w:t>En l'espèce, la cour cantonale a tout d'abord relevé la teneur de l' art. 110 al. 4 CPP , également applicable en procédure d'appel (cf. art. 379 CPP ; arrêts 1B_216/2017 du 24 juillet 2017 consid. 3; 6B_933/2015 du 22 juin 2016 consid. 3.1), aux termes duquel la direction de la procédure peut retourner à l'expéditeur une requête illisible, incompréhensible, inconvenante ou prolixe, en lui impartissant un délai pour la corriger en l'avertissant qu'à défaut, la requête ne sera pas prise en considération. Elle a également rappelé que selon la jurisprudence, le fait d'accuser des magistrats d'être membre d'une organisation criminelle constituait des propos manifestement outranciers et inconvenants (arrêt 1B_387/2013 du 1</w:t>
      </w:r>
    </w:p>
    <w:p>
      <w:r>
        <w:t>er novembre 2013 consid. 2 et l'arrêt cité).</w:t>
      </w:r>
    </w:p>
    <w:p>
      <w:r>
        <w:t>La cour cantonale a ensuite relevé, en substance, que la déclaration d'appel déposée le 13 juillet 2021 par le recourant contenait des propos outranciers et inconvenants à l'égard du Président du Tribunal de police et de divers autres magistrats vaudois, ceux-ci y étant notamment traités de "corrompus", de "faussaires", de "parjures" aux "méthodes de voyou" ou encore "d'organisation criminelle" et que le jugement attaqué devant elle y était qualifié de "faux en écriture publique". Si le recourant avait quelque peu modifié son mémoire d'appel à la suite de l'avis du 19 août 2021 de la Présidente de la Cour d'appel pénale, il n'avait pas pour autant retiré les propos inadmissibles qui y figuraient, ni corrigé son acte, se contentant pour le surplus de demander la récusation des membres de la Cour d'appel pénale et de réclamer la liste de ses propos inconvenants. La cour cantonale a dès lors jugé que la déclaration d'appel n'avait pas été rectifiée en temps utile et qu'il convenait, en application de l' art. 110 al. 4 CPP , de refuser d'entrer en matière sur l'appel du recourant.</w:t>
      </w:r>
    </w:p>
    <w:p>
      <w:r>
        <w:rPr>
          <w:b/>
        </w:rPr>
        <w:t>E. 3</w:t>
      </w:r>
    </w:p>
    <w:p>
      <w:r>
        <w:t>Est seule litigieuse l'application faite par la cour cantonale de l' art. 110 al. 4 CPP . A contrario, les griefs que soulèvent le recourant au sujet de différents éléments de la procédure préliminaire et de première instance, qui occupent l'essentiel de son mémoire de recours, sont manifestement irrecevables ( art. 80 al. 1 LTF ). Dans la partie qu'il consacre néanmoins au jugement attaqué, le recourant évoque notamment "les lourds antécédents de la dame" en visant la Présidente de la Cour d'appel pénale, soutient en outre, pour se limiter à ces éléments, que les "juges vaudois s'auto-protègent telle une caste endogame" et que le canton de Vaud "est une zone de non-droit connue du monde entier". Il eût été à cet égard loisible à la cour de céans de faire application de l' art. 42 al. 6 LTF , dont la teneur est analogue à celle de l' art. 110 al. 4 CPP . Quoi qu'il en soit, en se bornant à soutenir que la cour cantonale aurait faussement affirmé que la déclaration n'aurait été rectifiée ou aurait été incapable de citer les propos inconvenants qu'il aurait tenus, le recourant discute librement, partant de manière appellatoire et irrecevable les faits constatés par les juges précédents. En tant qu'il se plaint d'une violation des art. 6, 10 CEDH et 112 LTF, tout en invoquant une application qu'il juge scandaleuse de l' art. 110 CPP , le recourant procède en réalité par affirmation et ne développe aucune motivation topique à l'appui de ses griefs. Ainsi, telles qu'articulées, les critiques formulées par le recourant à l'encontre du jugement attaqué ne répondent manifestement pas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recourant, qui succombe, supporte les frais judiciaires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