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1512/2021 vom 31. Januar 2022</w:t>
      </w:r>
    </w:p>
    <w:p>
      <w:r>
        <w:t>Bundesgericht, 2022-01-31, DE</w:t>
      </w:r>
    </w:p>
    <w:p>
      <w:r>
        <w:rPr>
          <w:b/>
        </w:rPr>
        <w:t xml:space="preserve">Quelle: </w:t>
      </w:r>
      <w:r>
        <w:t>https://mcp.opencaselaw.ch/entscheid/bger_6B_1512_2021</w:t>
      </w:r>
    </w:p>
    <w:p>
      <w:r>
        <w:t>FR: TF 6B 1512/2021 du 31 janvier 2022</w:t>
      </w:r>
    </w:p>
    <w:p>
      <w:r>
        <w:t>IT: TF 6B 1512/2021 del 31 gennaio 2022</w:t>
      </w:r>
    </w:p>
    <w:p>
      <w:pPr>
        <w:pStyle w:val="Heading2"/>
      </w:pPr>
      <w:r>
        <w:t>Regeste</w:t>
      </w:r>
    </w:p>
    <w:p>
      <w:r>
        <w:t>Einstellung (Tätlichkeiten); Nichteintreten | Strafprozess</w:t>
      </w:r>
    </w:p>
    <w:p>
      <w:pPr>
        <w:pStyle w:val="Heading2"/>
      </w:pPr>
      <w:r>
        <w:t>Erwägungen</w:t>
      </w:r>
    </w:p>
    <w:p>
      <w:r>
        <w:rPr>
          <w:b/>
        </w:rPr>
        <w:t>E. 1</w:t>
      </w:r>
    </w:p>
    <w:p>
      <w:r>
        <w:t>A.A.________,</w:t>
      </w:r>
    </w:p>
    <w:p>
      <w:r>
        <w:rPr>
          <w:b/>
        </w:rPr>
        <w:t>E. 2</w:t>
      </w:r>
    </w:p>
    <w:p>
      <w:r>
        <w:t>Anfechtungsobjekt ist der Beschluss des Obergerichts des Kantons Zug vom 29. November 2021 und damit ein letztinstanzlicher kantonaler Entscheid. Zuständig für die Beurteilung der Beschwerde ist gemäss Art. 78 Abs. 1 und Art. 80 Abs. 1 BGG das Bundesgericht (und nicht, wie die Beschwerdeführer anzunehmen scheinen, das Obergericht selbst). Die Beschwerde an das Bundesgericht ist zu begründen ( Art. 42 Abs. 1 BGG ). In der Begründung ist unter Bezugnahme auf den angefochtenen Entscheid in gedrängter Form darzulegen, inwiefern der angefochtene Akt Recht verletzt ( Art. 42 Abs. 2 BGG ). Die Privatklägerschaft ist zur Beschwerde in Strafsachen grundsätzlich nur berechtigt, wenn sich der angefochtene Entscheid auf die Beurteilung ihrer Zivilansprüche auswirken kann (Art. 81 Abs. 1 lit. b Ziff. 5 BGG).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6B_1495/2021 vom 3. Januar 2022 E. 2; je mit Hinweis).</w:t>
      </w:r>
    </w:p>
    <w:p>
      <w:r>
        <w:rPr>
          <w:b/>
        </w:rPr>
        <w:t>E. 3</w:t>
      </w:r>
    </w:p>
    <w:p>
      <w:r>
        <w:t>Ausführungen zur Legitimation und zur Frage der durch den angefochtenen Beschluss allenfalls betroffenen Zivilforderungen fehlen in der Beschwerde gänzlich. Die Beschwerdeführer halten lediglich fest, sich auch im Zivilpunkt als Privatkläger zu konstituieren, äussern sich aber nicht dazu, um welche unmittelbar aus den angeblichen Straftaten resultierende Zivilforderung es konkret geht und inwiefern sich der angefochtene Entscheid darauf auswirken könnte. Dies ergibt sich auch nicht ohne Weiteres aus dem gegen C.________ und D.________ gerichteten Vorwurf der Tätlichkeiten. Davon abgesehen setzen sich die Beschwerdeführer auch inhaltlich mit keinem Wort mit den vorinstanzlichen Erwägungen, wonach die Staatsanwaltschaft das Verfahren zufolge Retorsion ( Art. 177 Abs. 3 StGB ) zu Recht eingestellt habe, auseinander. Damit genügt die Beschwerde auch in dieser Hinsicht den gesetzlichen Begründungsanforderungen nicht. Auf die Beschwerde ist im Verfahren nach Art. 108 BGG mangels Legitimation und mangels tauglicher Begründung nicht einzutreten.</w:t>
      </w:r>
    </w:p>
    <w:p>
      <w:r>
        <w:rPr>
          <w:b/>
        </w:rPr>
        <w:t>E. 4</w:t>
      </w:r>
    </w:p>
    <w:p>
      <w:r>
        <w:t>Ausgangsgemäss sind die Gerichtskosten den Beschwerdeführern aufzuerlegen ( Art. 66 Abs. 1 BGG ). Sie haften dafür zu gleichen Teilen und solidarisch ( Art. 66 Abs.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