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6B_150/2025 vom 3. März 2025</w:t>
      </w:r>
    </w:p>
    <w:p>
      <w:r>
        <w:t>Bundesgericht, 2025-03-03, FR</w:t>
      </w:r>
    </w:p>
    <w:p>
      <w:r>
        <w:rPr>
          <w:b/>
        </w:rPr>
        <w:t xml:space="preserve">Quelle: </w:t>
      </w:r>
      <w:r>
        <w:t>https://mcp.opencaselaw.ch/entscheid/bger_6B_150_2025</w:t>
      </w:r>
    </w:p>
    <w:p>
      <w:r>
        <w:t>FR: TF 6B_150/2025 du 3 mars 2025</w:t>
      </w:r>
    </w:p>
    <w:p>
      <w:r>
        <w:t>IT: TF 6B_150/2025 del 3 marzo 2025</w:t>
      </w:r>
    </w:p>
    <w:p>
      <w:pPr>
        <w:pStyle w:val="Heading2"/>
      </w:pPr>
      <w:r>
        <w:t>Erwägungen</w:t>
      </w:r>
    </w:p>
    <w:p>
      <w:r>
        <w:rPr>
          <w:b/>
        </w:rPr>
        <w:t>E. 1</w:t>
      </w:r>
    </w:p>
    <w:p>
      <w:r>
        <w:t>Par actes séparés du 12 février 2025, les époux A.A.________ (dossier 6B_150/2025) et B.A.________ (dossier 6B_152/2025) recourent en matière pénale contre un jugement du 11 décembre 2024 par lequel la Cour pénale du Tribunal cantonal jurassien, statuant sur les appels interjetés par les précités, a notamment condamné la première, avec suite de frais et indemnités des deux instances cantonales (singulièrement pour couvrir les dépenses obligatoires de la partie plaignante C.C.________), pour lésions corporelles simples et contrainte à 180 jours-amende à 10 fr. le jour, avec sursis pendant 2 ans. La cour cantonale a, en outre, ordonné une interdiction de contact avec la partie plaignante précitée, pour une durée de 5 ans, sous menace de l' art. 294 al. 2 CP . Après avoir libéré B.A.________ de diverses accusations (injure du 11 mai 2023, contraintes des 11 avril, 6 novembre 2022 et 11 mai 2023; infraction à la LCR du 6 novembre 2022), la cour cantonale a condamné l'intéressé, pour lésions corporelles simples, contrainte, infraction à la loi fédérale sur la circulation routière et infractions à l'Ordonnance sur la mise en circulation des engrais (OENG), à la loi fédérale sur la protection de l'environnement (LPE), à l'Ordonnance sur les produits chimiques (OCHIM) ainsi qu'à l'Ordonnance sur la réduction des risques liés aux produits chimiques (ORRCHIM), à 6 mois de privation de liberté fermes ainsi que 500 fr. d'amende (peine de substitution de 5 jours de privation de liberté), avec suite de frais et indemnités des deux instances cantonales (en particulier pour couvrir les dépenses obligatoires de la partie plaignante C.C.________, solidairement avec A.A.________). La cour cantonale a, en outre, ordonné une interdiction de contact avec la partie plaignante précitée et D.C.________, pour une durée de 5 ans, sous menace de l' art. 294 al. 2 CP .</w:t>
      </w:r>
    </w:p>
    <w:p>
      <w:r>
        <w:rPr>
          <w:b/>
        </w:rPr>
        <w:t>E. 2</w:t>
      </w:r>
    </w:p>
    <w:p>
      <w:r>
        <w:t>A.A.________ et B.A.________ concluent, en substance, avec suite de frais et dépens des instances fédérale et cantonales, à leur acquittement et à ce qu'il soit renoncé à leur imposer des interdictions de contact. Ils requièrent, par ailleurs, le bénéfice de l'assistance judiciaire.</w:t>
      </w:r>
    </w:p>
    <w:p>
      <w:r>
        <w:rPr>
          <w:b/>
        </w:rPr>
        <w:t>E. 3</w:t>
      </w:r>
    </w:p>
    <w:p>
      <w:r>
        <w:t>La langue de la procédure est celle de la décision cantonale, soit le français, lors même que la recourante procède en allemand ( art. 54 al. 1 LTF ).</w:t>
      </w:r>
    </w:p>
    <w:p>
      <w:r>
        <w:rPr>
          <w:b/>
        </w:rPr>
        <w:t>E. 4</w:t>
      </w:r>
    </w:p>
    <w:p>
      <w:r>
        <w:t>Les deux recours sont dirigés contre la même décision et posent des questions juridiques identiques au plan procédural. Il apparaît expédient de joindre les causes et de les traiter dans un seul arrêt ( art. 24 al. 2 PCF et 71 LTF).</w:t>
      </w:r>
    </w:p>
    <w:p>
      <w:r>
        <w:rPr>
          <w:b/>
        </w:rPr>
        <w:t>E. 5</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Il en va ainsi notamment du contenu de la pensée ( ATF 142 IV 137 consid. 12; 135 IV 152 consid. 2.3.2).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w:t>
      </w:r>
    </w:p>
    <w:p>
      <w:r>
        <w:rPr>
          <w:b/>
        </w:rPr>
        <w:t>E. 6</w:t>
      </w:r>
    </w:p>
    <w:p>
      <w:r>
        <w:t>Les recourants contestent leurs condamnations respectives mais ne discutent d'aucune manière en droit la motivation de la décision cantonale en tant qu'elle porte sur la qualification des infractions. Par ailleurs, ni le recourant, ni la recourante, qui remettent en cause les constatations de fait de la décision querellée, n'invoquent expressément la violation d'un quelconque droit fondamental à cet égard. Les développements respectifs de leurs deux recours, au mieux appellatoires, sont irrecevables. Il en va ainsi, en particulier, en tant qu'ils contestent la causalité naturelle d'infractions de résultat ( ATF 138 IV 1 consid. 4.2.3.3; 122 IV 17 consid. 2c/aa), respectivement l'intention du recourant de causer un dommage.</w:t>
      </w:r>
    </w:p>
    <w:p>
      <w:r>
        <w:rPr>
          <w:b/>
        </w:rPr>
        <w:t>E. 7</w:t>
      </w:r>
    </w:p>
    <w:p>
      <w:r>
        <w:t>En tant qu'ils se prévalent d'une violation du principe de l'accusation ( art. 9 CPP ), au motif que la décision de renvoi n'aurait pas suffisamment précisé quels comportements seraient reprochés à chacun d'entre eux, ils ne discutent d'aucune manière la motivation de la cour cantonale qui a jugé que l'acte d'accusation était suffisamment précis, à plus forte raison, en tant qu'il portait sur des faits qui leur étaient reprochés comme co-auteurs (jugement sur appel, consid. 2.1.1 et 2.1.2 p. 22 s.). Étant par ailleurs rappelé que la maxime d'accusation revêt les deux fonctions de délimitation et d'information ( ATF 143 IV 63 consid. 2.2; 141 IV 132 consid. 3.4.1 et les références citées), les intéressés n'expliquent pas non plus s'ils se plaignent de n'avoir pas été suffisamment éclairés sur les reproches qui leur étaient adressés et ne démontrent de toute manière pas en quoi ce grief aurait encore été d'actualité dans un recours qui ne peut être dirigé que contre une décision de dernière instance cantonale ( art. 80 al. 1 LTF ) après qu'ils ont eu connaissance du jugement les condamnant en première instance. Ils ne soutiennent pas non plus expressément que certains faits auraient été retenus contre eux alors qu'ils n'étaient pas visés formellement par l'acte d'accusation. Pour le surplus, en tant que le recourant mêle à sa discussion sur ce point, des appréciations relatives aux déclarations de l'intimée 2 à propos des traitements qu'elle suit, ses développements sont dénués de toute pertinence.</w:t>
      </w:r>
    </w:p>
    <w:p>
      <w:r>
        <w:rPr>
          <w:b/>
        </w:rPr>
        <w:t>E. 8</w:t>
      </w:r>
    </w:p>
    <w:p>
      <w:r>
        <w:t>Les recourants critiquent également les interdictions de contact qui leur sont imposées. Ils en contestent la légalité, mais ne discutent pas précisément la motivation de la décision entreprise, qui retient, eu égard à leur comportement quérulent, aux antécédents et à la longue période durant laquelle la famille de l'intimée 2 a été victime de leurs agissements, l'existence d'un risque concret de commission de nouveaux crimes ou délits contre l'intimée 2 ou la famille de celle-ci. Les recours se révèlent au mieux appellatoires sur ce point également.</w:t>
      </w:r>
    </w:p>
    <w:p>
      <w:r>
        <w:rPr>
          <w:b/>
        </w:rPr>
        <w:t>E. 9</w:t>
      </w:r>
    </w:p>
    <w:p>
      <w:r>
        <w:t>Enfin, les recourants allèguent avoir invoqué en première instance la récusation d'une procureure et se plaignent de l'absence au dossier de cette demande. Étant relevé qu'une autre procureure était en charge au stade de l'appel, la question de la récusation en tant que telle n'est pas l'objet de l'arrêt entrepris et rien n'indique non plus que les intéressés auraient avancé devant la cour cantonale que les circonstances qu'ils invoquent auraient pu influencer certaines mesures d'instruction. La décision entreprise n'en dit rien et les recourants n'invoquent expressément aucune violation de leur droit d'être entendus ( art. 106 al. 2 LTF ). Tel qu'il est articulé, ce grief apparaît ainsi irrecevable devant le Tribunal fédéral, faute d'épuisement préalable des voies de droit cantonales (cf. art. 80 al. 1 LTF ) et compte tenu du principe de la bonne foi en procédure ( art. 5 al. 3 Cst. ; cf. ATF 146 IV 297 consid. 2.2.6; 143 IV 397 consid. 3.4.2).</w:t>
      </w:r>
    </w:p>
    <w:p>
      <w:r>
        <w:rPr>
          <w:b/>
        </w:rPr>
        <w:t>E. 10</w:t>
      </w:r>
    </w:p>
    <w:p>
      <w:r>
        <w:t>Il résulte de ce qui précède que la motivation des recours est manifestement insuffisante, ce qu'il y a lieu de constater dans la procédure prévue par l' art. 108 al. 1 let. b LTF . Vu cette issue, les recours étaient dénués de chances de succès, ce qui conduit au refus de l'assistance judiciaire ( art. 64 al. 1 et 3 LTF ). Les recourants supportent conjointement, soit solidairement et à parts égales entre eux, les frais de la procédure, qui seront fixés en tenant compte de leur situation qui n'apparaît pas favorable (art. 65 al. 2 et 66 al. 1 et 5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