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6B_150/2015 vom 23. Februar 2015</w:t>
      </w:r>
    </w:p>
    <w:p>
      <w:r>
        <w:t>Bundesgericht, 2015-02-23, DE</w:t>
      </w:r>
    </w:p>
    <w:p>
      <w:r>
        <w:rPr>
          <w:b/>
        </w:rPr>
        <w:t xml:space="preserve">Quelle: </w:t>
      </w:r>
      <w:r>
        <w:t>https://mcp.opencaselaw.ch/entscheid/bger_6B_150_2015</w:t>
      </w:r>
    </w:p>
    <w:p>
      <w:r>
        <w:t>FR: TF 6B_150/2015 du 23 février 2015</w:t>
      </w:r>
    </w:p>
    <w:p>
      <w:r>
        <w:t>IT: TF 6B_150/2015 del 23 febbraio 2015</w:t>
      </w:r>
    </w:p>
    <w:p>
      <w:pPr>
        <w:pStyle w:val="Heading2"/>
      </w:pPr>
      <w:r>
        <w:t>Erwägungen</w:t>
      </w:r>
    </w:p>
    <w:p>
      <w:r>
        <w:rPr>
          <w:b/>
        </w:rPr>
        <w:t>E. 1</w:t>
      </w:r>
    </w:p>
    <w:p>
      <w:r>
        <w:t>Staatsanwaltschaft des Kantons Basel-Stadt, Binningerstrasse 21, 4051 Basel,</w:t>
      </w:r>
    </w:p>
    <w:p>
      <w:r>
        <w:rPr>
          <w:b/>
        </w:rPr>
        <w:t>E. 2</w:t>
      </w:r>
    </w:p>
    <w:p>
      <w:r>
        <w:t>Die Privatklägerin ist zur Beschwerde gegen eine Einstellungsverfügung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w:t>
      </w:r>
    </w:p>
    <w:p>
      <w:r>
        <w:t>Gemäss Art. 42 Abs. 1 und 2 BGG hat die Privatklägerin darzulegen, dass die gesetzlichen Legitimationsvoraussetzungen erfüllt sind.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(vgl. Art. 119 Abs. 1 lit. b StPO ), werden in der Einstellungsverfügung keine Zivilklagen behandelt ( Art. 320 Abs. 3 StPO ). In jedem Fall muss die Privatklägerin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Straftaten ohne Weiteres ersichtlich ist, um welche Zivilforderungen es geht (zur Publikation bestimmtes Urteil 6B_261/2014 vom 4. Dezember 2014 E. 1.1. mit Hinweisen).</w:t>
      </w:r>
    </w:p>
    <w:p>
      <w:r>
        <w:rPr>
          <w:b/>
        </w:rPr>
        <w:t>E. 3</w:t>
      </w:r>
    </w:p>
    <w:p>
      <w:r>
        <w:t>Die Beschwerdeführerin macht zur Frage der Legitimation unter Hinweis auf den angefochtenen Entscheid geltend, sie habe sich als Privatklägerin konstituiert und sei vom Entscheid berührt, da die angezeigten Straftaten zu ihrem Nachteil begangen worden seien. Das Beschwerderecht ergebe sich aus Art. 81 Abs. 2 (recte Abs. 1 lit. b) Ziff. 5 BGG, weil sich die Frage, ob sich der Beschuldigte zu ihrem Nacheil strafbar verhalten hat, auf die Beurteilung ihrer Zivilansprüche, namentlich der Schadenersatzansprüche, auswirken kann (Beschwerde S. 3 Ziff. 3).</w:t>
      </w:r>
    </w:p>
    <w:p>
      <w:r>
        <w:t>Diese Ausführungen genügen den Anforderungen nicht. Die Beschwerdeführerin, die gemäss den Feststellungen der Vorinstanz zum "Sachverhalt" im kantonalen Verfahren keine Zivilforderung geltend gemacht hat, hätte vor Bundesgericht darlegen müssen, inwiefern sich der Ausgang des Strafprozesses auf welche konkrete Forderung, die ihr gegen den Beschwerdegegner 2 zusteht, auswirken kann. Die Vorwürfe, er habe eine Veruntreuung, üble Nachrede, Datenbeschädigung und unlauteren Wettbewerb begangen, lassen auch nicht auf den ersten Blick erkennen, um welche Zivilforderung es geht. Auf die Beschwerde ist mangels Legitimation der Beschwerdeführerin im Verfahren nach Art. 108 BGG nicht einzutreten. Mit dem Entscheid in der Sache ist das Gesuch um aufschiebende Wirkung gegenstandslos geworden.</w:t>
      </w:r>
    </w:p>
    <w:p>
      <w:r>
        <w:rPr>
          <w:b/>
        </w:rPr>
        <w:t>E. 4</w:t>
      </w:r>
    </w:p>
    <w:p>
      <w:r>
        <w:t>Die Gerichtskosten sind der Beschwerdeführerin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