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150/2014 vom 23. September 2014</w:t>
      </w:r>
    </w:p>
    <w:p>
      <w:r>
        <w:t>Bundesgericht, 2014-09-23, DE</w:t>
      </w:r>
    </w:p>
    <w:p>
      <w:r>
        <w:rPr>
          <w:b/>
        </w:rPr>
        <w:t xml:space="preserve">Quelle: </w:t>
      </w:r>
      <w:r>
        <w:t>https://mcp.opencaselaw.ch/entscheid/bger_6B_150_2014</w:t>
      </w:r>
    </w:p>
    <w:p>
      <w:r>
        <w:t>FR: TF 6B 150/2014 du 23 septembre 2014</w:t>
      </w:r>
    </w:p>
    <w:p>
      <w:r>
        <w:t>IT: TF 6B 150/2014 del 23 settembre 2014</w:t>
      </w:r>
    </w:p>
    <w:p>
      <w:pPr>
        <w:pStyle w:val="Heading2"/>
      </w:pPr>
      <w:r>
        <w:t>Regeste</w:t>
      </w:r>
    </w:p>
    <w:p>
      <w:r>
        <w:t>Verfahrenseinstellung, Verfahrenskosten und Entschädigung; Willkür, Unschuldsvermutung | Strafprozess</w:t>
      </w:r>
    </w:p>
    <w:p>
      <w:pPr>
        <w:pStyle w:val="Heading2"/>
      </w:pPr>
      <w:r>
        <w:t>Erwägungen</w:t>
      </w:r>
    </w:p>
    <w:p>
      <w:r>
        <w:rPr>
          <w:b/>
        </w:rPr>
        <w:t>E. 1.1</w:t>
      </w:r>
    </w:p>
    <w:p>
      <w:r>
        <w:t>Der Beschwerdeführer rügt eine Verletzung von Art. 426 und 430 StPO sowie Art. 32 Abs. 1 BV und Art. 6 Ziff. 2 EMRK . Die Vorinstanz verstosse gegen die Unschuldsvermutung, indem sie ihm indirekt vorwerfe, er habe seine Forderung, dass seine damalige Ehefrau mit den Kindern nach Hause komme, mit dem Hervornehmen eines Messers unterstrichen. Er habe seine frühere Ehefrau nicht bedroht, als er das Messer auf den Tisch gelegt habe. Eine Drohung mit dem Küchenmesser dürfe ihm - auch in zivilrechtlicher Hinsicht - nicht angelastet werden. Das ihm vorgeworfene Verhalten sei nur geeignet, die Persönlichkeit eines Menschen zu verletzen, wenn es von diesem als bedrohlich empfunden werden müsse respektive direkt mit einer Drohung verbunden sei. Da ihm weder ein straf- noch zivilrechtlich vorwerfbares Verhalten nachgewiesen werden könne, sei die Kostenauflage und die Verweigerung von Entschädigung sowie Genugtuung bundes- und völkerrechtswidrig. Ferner verletze die Vorinstanz seinen Anspruch auf rechtliches Gehör, indem sie sich zu seinem Eventualantrag nicht äussere, ihm sei nur ein Teil der Kosten aufzuerlegen und er sei teilweise zu entschädigen.</w:t>
      </w:r>
    </w:p>
    <w:p>
      <w:r>
        <w:rPr>
          <w:b/>
        </w:rPr>
        <w:t>E. 1.2</w:t>
      </w:r>
    </w:p>
    <w:p>
      <w:r>
        <w:t>Die Einstellung des Verfahrens gestützt auf Art. 55a StGB hat in der Regel eine Kostenauflage zu Lasten des Staates zur Folge (vgl. Art. 423 Abs. 1 StPO ). Von dieser Regelung kann abgewichen werden, wenn das strafbare Verhalten des Täters bewiesen ist, was namentlich der Fall ist, wenn dieser geständig ist (Urteil 6B_835/2009 vom 21. Dezember 2009 E. 4.3 mit Hinweisen, in: Pra 2010 Nr. 48 S. 351). Ansonsten können der beschuldigten Person die Verfahrenskosten ganz oder teilweise auferlegt werden, wenn sie rechtswidrig oder schuldhaft die Einleitung des Verfahrens bewirkt oder dessen Durchführung erschwert hat ( Art. 426 Abs. 2 StPO ). Unter den gleichen Voraussetzungen kann gemäss Art. 430 Abs. 1 lit. a StPO eine Entschädigung oder Genugtuung herabgesetzt oder verweigert werden. Diese Bestimmungen kodifizieren die Praxis des Bundesgerichts und der EMRK-Organe, wonach eine Kostenauflage möglich ist, wenn der Beschuldigte in zivilrechtlich vorwerfbarer Weise gegen eine geschriebene oder ungeschriebene Verhaltensnorm klar verstossen und dadurch die Einleitung des Strafverfahrens veranlasst hat. Das Verhalten muss unter rechtlichen Gesichtspunkten vorwerfbar sein. Gegen Verfassung und Konvention verstösst es aber, in der Begründung des Entscheids, mit dem ein Freispruch oder eine Verfahrenseinstellung erfolgt und dem Beschuldigten Kosten auferlegt werden oder eine Entschädigung verweigert wird, diesem direkt oder indirekt vorzuwerfen, er habe sich strafbar gemacht bzw. es treffe ihn ein strafrechtliches Verschulden ( BGE 120 Ia 147 E. 3b S. 155; 119 Ia 332 E. 1b S. 334; je mit Hinweisen; Botschaft vom 21. Dezember 2005 zur Vereinheitlichung des Strafprozessrechts, BBl 2006 1326 Ziff. 2.10.2 und 1329 f. Ziff. 2.10.3.1; Urteil 6B_586/2013 vom 1. Mai 2014 E. 2.3). Die Kostenauflage darf in tatsächlicher Hinsicht nur auf unbestrittenen oder bereits klar nachgewiesenen Umständen beruhen ( BGE 112 Ia 371 E. 2a S. 374). Eine Kostenauflage an einen nicht verurteilten Beschuldigten wegen zivilrechtlich schuldhaften Verhaltens kann sich auf Art. 28 ZGB stützen. Die Persönlichkeitsrechte werden durch Angriffe auf die physische und die psychische Integrität verletzt. Darunter fällt auch ein Verhalten, das andere terrorisiert und verängstigt sowie diese in ihrem seelischen Wohlbefinden gefährdet oder erheblich stört. Allerdings kann nicht jede noch so geringfügige Beeinträchtigung der Persönlichkeit als rechtlich relevante Verletzung verstanden werden. Die Verletzung muss eine gewisse Intensität erreichen. Auf die subjektive Empfindlichkeit des Betroffenen kommt es dabei nicht an. Für die Beurteilung der Schwere des Eingriffs ist ein objektiver Massstab anzulegen (Urteile 6B_990/2013 vom 10. Juni 2014 E. 1.2 und 1B_21/2012 vom 27. März 2012 E. 2.4 mit Hinweisen).</w:t>
      </w:r>
    </w:p>
    <w:p>
      <w:r>
        <w:rPr>
          <w:b/>
        </w:rPr>
        <w:t>E. 1.3</w:t>
      </w:r>
    </w:p>
    <w:p>
      <w:r>
        <w:t>Die Vorinstanz erwägt, es sei unbestritten respektive aufgrund der Aussagen nachgewiesen, dass der Beschwerdeführer seine damalige Ehefrau mit den Kindern wieder nach Hause holen wollte. Diese weigerte sich, woraufhin er ein Messer auf den Wohnzimmertisch legte. Die frühere Ehefrau bekam Angst und fühlte sich bedroht. Ob der Beschwerdeführer sie auch verbal oder unmittelbar mit dem Küchenmesser bedrohte, sei in zivilrechtlicher Hinsicht irrelevant und könne offenbleiben. Indem er seine Forderung, sie solle mit den Kindern nach Hause kommen, mit dem blossen Vorzeigen eines immerhin 30 cm langen Messers unterstrichen habe, habe er ihr einen riesigen Schrecken eingejagt. Er habe die psychische Gesundheit seiner damaligen Ehefrau derart beeinträchtigt, dass sie nach dem Vorfall einige Tage in einer psychiatrischen Klinik habe verbringen müssen. Ihre Strafanzeige und das Strafverfahren seien alleine auf sein sozialinadäquates und persönlichkeitsverletzendes Verhalten zurückzuführen. Die Voraussetzungen von Art. 426 Abs. 2 und Art. 430 Abs. 1 lit. a StPO seien erfüllt (Beschluss S. 10 f. E. 5.1 und 5.3).</w:t>
      </w:r>
    </w:p>
    <w:p>
      <w:r>
        <w:rPr>
          <w:b/>
        </w:rPr>
        <w:t>E. 1.4</w:t>
      </w:r>
    </w:p>
    <w:p>
      <w:r>
        <w:t>Die Vorinstanz stützt die Kostenauflage auf den Sachverhalt, der Gegenstand des eingestellten Strafverfahrens war. Dieser ist jedoch weder unbestritten, eingestanden noch klar nachgewiesen. Sie legt die wesentlichen Aussagen der Beteiligten dar und erachtet gestützt darauf als erwiesen, dass die damalige Ehefrau des Beschwerdeführers Angst bekam und die Polizei alarmierte, weil er ein Messer auf den Tisch gelegt hatte. Indes ist nicht erstellt, dass ihre Angst direkte Folge des Verhaltens des Beschwerdeführers war. So deuten die Aussagen des gemeinsamen Sohnes, des Beschwerdeführers und der Schwägerin darauf hin, dass die einstige Ehefrau durch das Verhalten ihres Vaters verängstigt wurde (Beschluss S. 7 ff. E. 3.3 ff.). Jedenfalls ist der Zusammenhang nicht klar nachgewiesen. Ferner lässt die Begründung der Vorinstanz darauf schliessen, dass sie dem Beschwerdeführer unterstellt, er habe seine damalige Ehefrau implizit bedroht, indem er seine Forderung mit dem Ablegen des Messers verbunden habe. Dies bestreitet der Beschwerdeführer. Indem die Vorinstanz ihren Kostenentscheid auf denselben Sachverhalt stützt, der eingestellt wurde, zeigt sie ihre strafrechtliche Missbilligung und verletzt damit die Unschuldsvermutung nach Art. 32 Abs. 1 BV und Art. 6 Ziff. 2 EMRK . Die Vorinstanz verstösst gegen Art. 426 Abs. 2 und Art. 430 Abs. 1 lit. a StPO , wenn sie dem Beschwerdeführer die Verfahrenskosten auferlegt und ihm eine Entschädigung sowie Genugtuung verweigert. Bei diesem Ausgang des Verfahrens kann die Rüge der Verletzung des Anspruchs auf rechtliches Gehör offengelassen werden.</w:t>
      </w:r>
    </w:p>
    <w:p>
      <w:r>
        <w:rPr>
          <w:b/>
        </w:rPr>
        <w:t>E. 2</w:t>
      </w:r>
    </w:p>
    <w:p>
      <w:r>
        <w:t>Die Beschwerde ist gutzuheissen, der angefochtene Beschluss aufzuheben und die Sache zur neuen Entscheidung an die Vorinstanz zurückzuweisen. Es sind keine Gerichtskosten zu erheben ( Art. 66 Abs. 1 und 4 BGG ). Das Gesuch um unentgeltliche Rechtspflege und Verbeiständung wird gegenstandslos. Der Kanton Basel-Landschaft hat den Beschwerdeführer für das bundesgerichtliche Verfahren zu entschädigen ( Art. 68 Abs. 1 und 2 BGG ). Die Entschädigung ist praxisgemäss seinem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