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6B_149/2020 vom 23. April 2020</w:t>
      </w:r>
    </w:p>
    <w:p>
      <w:r>
        <w:t>Bundesgericht, 2020-04-23, FR</w:t>
      </w:r>
    </w:p>
    <w:p>
      <w:r>
        <w:rPr>
          <w:b/>
        </w:rPr>
        <w:t xml:space="preserve">Quelle: </w:t>
      </w:r>
      <w:r>
        <w:t>https://mcp.opencaselaw.ch/entscheid/bger_6B_149_2020</w:t>
      </w:r>
    </w:p>
    <w:p>
      <w:r>
        <w:t>FR: TF 6B_149/2020 du 23 avril 2020</w:t>
      </w:r>
    </w:p>
    <w:p>
      <w:r>
        <w:t>IT: TF 6B_149/2020 del 23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6B_149/2020</w:t>
      </w:r>
    </w:p>
    <w:p>
      <w:r>
        <w:t>Ordonnance du 23 avril 2020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Greffier : M. Vallat.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Ministère public de la République et canton de Neuchâtel,</w:t>
      </w:r>
    </w:p>
    <w:p>
      <w:r>
        <w:t>intimé.</w:t>
      </w:r>
    </w:p>
    <w:p>
      <w:r>
        <w:t>Objet</w:t>
      </w:r>
    </w:p>
    <w:p>
      <w:r>
        <w:t>Retrait du recours, ordonnance de non-entrée en matière (remboursement de prestations); droit d'être entendu,</w:t>
      </w:r>
    </w:p>
    <w:p>
      <w:r>
        <w:t>recours contre le jugement du Tribunal cantonal de la République et canton de Neuchâtel, Autorité de recours en matière pénale, du 31 janvier 2020 (ARMP.2019.162/sk).</w:t>
      </w:r>
    </w:p>
    <w:p>
      <w:r>
        <w:t>Considérant en fait et en droit :</w:t>
      </w:r>
    </w:p>
    <w:p>
      <w:r>
        <w:t>Invité à avancer les frais de la procédure de recours dans la cause citée sous rubrique, A.________ a indiqué, par courrier du 11 mars 2020, " vi informo che mi fermo ". Par courrier du 13 mars courant, notifié le 17 mars 2020, A.________ a été informé que, sans indication contraire de sa part dans un délai échéant le 25 mars 2020, le recours serait considéré comme définitivement retiré, sans frais à sa charge. L'intéressé n'a pas réagi à cette lettre. Il sied de considérer ce silence comme manifestant son intention de retirer le recours, d'en prendre acte et de rayer la cause du rôle (cf.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6B_149/2020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de la République et canton de Neuchâtel, Autorité de recours en matière pénale.</w:t>
      </w:r>
    </w:p>
    <w:p>
      <w:r>
        <w:t>Lausanne, le 23 avril 2020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