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149/2007 vom 17. Juli 2007</w:t>
      </w:r>
    </w:p>
    <w:p>
      <w:r>
        <w:t>Bundesgericht, 2007-07-17, FR</w:t>
      </w:r>
    </w:p>
    <w:p>
      <w:r>
        <w:rPr>
          <w:b/>
        </w:rPr>
        <w:t xml:space="preserve">Quelle: </w:t>
      </w:r>
      <w:r>
        <w:t>https://mcp.opencaselaw.ch/entscheid/bger_6B_149_2007</w:t>
      </w:r>
    </w:p>
    <w:p>
      <w:r>
        <w:t>FR: TF 6B 149/2007 du 17 juillet 2007</w:t>
      </w:r>
    </w:p>
    <w:p>
      <w:r>
        <w:t>IT: TF 6B 149/2007 del 17 luglio 2007</w:t>
      </w:r>
    </w:p>
    <w:p>
      <w:pPr>
        <w:pStyle w:val="Heading2"/>
      </w:pPr>
      <w:r>
        <w:t>Regeste</w:t>
      </w:r>
    </w:p>
    <w:p>
      <w:r>
        <w:t>Faux témoignage (art. 307 CP) | Infractions</w:t>
      </w:r>
    </w:p>
    <w:p>
      <w:pPr>
        <w:pStyle w:val="Heading2"/>
      </w:pPr>
      <w:r>
        <w:t>Erwägungen</w:t>
      </w:r>
    </w:p>
    <w:p>
      <w:r>
        <w:rPr>
          <w:b/>
        </w:rPr>
        <w:t>E. 1</w:t>
      </w:r>
    </w:p>
    <w:p>
      <w:r>
        <w:t>Il convient d'examiner en premier lieu si la décision attaquée, de par sa nature, peut faire l'objet d'un recours au Tribunal fédéral.</w:t>
      </w:r>
    </w:p>
    <w:p>
      <w:r>
        <w:rPr>
          <w:b/>
        </w:rPr>
        <w:t>E. 1.1</w:t>
      </w:r>
    </w:p>
    <w:p>
      <w:r>
        <w:t>La décision attaquée n'est pas une décision finale, puisqu'elle ne met pas fin à la procédure pénale ouverte contre le recourant (cf. art. 90 LTF ). Il ne s'agit pas non plus d'une décision partielle, dès lors qu'elle ne statue pas sur un objet dont le sort est indépendant de celui qui reste en cause, ni ne met fin à la procédure à l'égard d'une partie des consorts (cf. art. 91 LTF ; arrêt 6B_27/2007 et 6B_28/2007, du 31 mai 2007, consid. 2.2, destiné à la publication).</w:t>
      </w:r>
    </w:p>
    <w:p>
      <w:r>
        <w:rPr>
          <w:b/>
        </w:rPr>
        <w:t>E. 1.2</w:t>
      </w:r>
    </w:p>
    <w:p>
      <w:r>
        <w:t>Après modification de celle rendue par le magistrat instructeur, la décision attaquée renvoie le recourant devant l'autorité de jugement, sans aucune injonction quant à l'issue de ce dernier. Elle constitue donc une décision incidente au sens de l' art. 93 LTF . Elle ne cause toutefois pas de préjudice irréparable au recourant, par quoi on entend un préjudice juridique, c'est-à-dire qui ne puisse être réparé ultérieurement, notamment par un jugement final (cf. ATF 131 I 57 consid. 1 p. 59; 127 I 92 consid. 1c p. 94; 126 I 207 consid. 2 p. 210 et les arrêts cités). La notion de préjudice irréparable au sens de l' art. 93 LTF correspond en effet à celle de l' art. 87 al. 2 OJ en matière de recours de droit public (cf. Message du Conseil fédéral du 28 février 2001 relatif à la révision totale de l'organisation judiciaire fédérale; FF 2001, 4000 ss, 4131; Bernard Corboz, Introduction à la nouvelle loi sur le Tribunal fédéral, in SJ 2006 p. 319 ss, p. 326); Spühler/Dolge/Vock, Kurzkommentar zum Bundesgerichtsgesetz (BGG), Zurich/St.-Galle 2006, art. 93, n° 4; Niklaus Schmid, Die Strafrechtsbeschwerde nach dem Bundesgesetz über das Bundesgericht - eine erste Auslegeordnung, in RPS 2006, p. 160 ss, p. 175). Par ailleurs, on ne se trouve pas dans un cas où l'admission du recours pourrait conduire immédiatement à une décision finale qui permettrait d'éviter une procédure longue et coûteuse. Ainsi, aucune des deux conditions alternatives auxquelles une décision préjudicielle ou incidente peut faire l'objet d'un recours (cf. art. 93 al. 1 let. a et b LTF ) n'est réalisée.</w:t>
      </w:r>
    </w:p>
    <w:p>
      <w:r>
        <w:rPr>
          <w:b/>
        </w:rPr>
        <w:t>E. 1.3</w:t>
      </w:r>
    </w:p>
    <w:p>
      <w:r>
        <w:t>Il découle de ce qui précède que la décision attaquée ne peut faire l'objet d'un recours, qui est dès lors irrecevable à son encontre.</w:t>
      </w:r>
    </w:p>
    <w:p>
      <w:r>
        <w:rPr>
          <w:b/>
        </w:rPr>
        <w:t>E. 2</w:t>
      </w:r>
    </w:p>
    <w:p>
      <w:r>
        <w:t>Il ne sera pas perçu de frais,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