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1495/2021 vom 3. Januar 2022</w:t>
      </w:r>
    </w:p>
    <w:p>
      <w:r>
        <w:t>Bundesgericht, 2022-01-03, DE</w:t>
      </w:r>
    </w:p>
    <w:p>
      <w:r>
        <w:rPr>
          <w:b/>
        </w:rPr>
        <w:t xml:space="preserve">Quelle: </w:t>
      </w:r>
      <w:r>
        <w:t>https://mcp.opencaselaw.ch/entscheid/bger_6B_1495_2021</w:t>
      </w:r>
    </w:p>
    <w:p>
      <w:r>
        <w:t>FR: TF 6B 1495/2021 du 3 janvier 2022</w:t>
      </w:r>
    </w:p>
    <w:p>
      <w:r>
        <w:t>IT: TF 6B 1495/2021 del 3 gennaio 2022</w:t>
      </w:r>
    </w:p>
    <w:p>
      <w:pPr>
        <w:pStyle w:val="Heading2"/>
      </w:pPr>
      <w:r>
        <w:t>Regeste</w:t>
      </w:r>
    </w:p>
    <w:p>
      <w:r>
        <w:t>Einstellung (unbefugtes Eindringen in ein Datenverarbeitungssystem); Nichteintreten | Strafprozess</w:t>
      </w:r>
    </w:p>
    <w:p>
      <w:pPr>
        <w:pStyle w:val="Heading2"/>
      </w:pPr>
      <w:r>
        <w:t>Erwägungen</w:t>
      </w:r>
    </w:p>
    <w:p>
      <w:r>
        <w:rPr>
          <w:b/>
        </w:rPr>
        <w:t>E. 1</w:t>
      </w:r>
    </w:p>
    <w:p>
      <w:r>
        <w:t>Auf Anzeige von A.________ eröffnete die Staatsanwaltschaft Basel-Stadt gegen B.________ ein Strafverfahren wegen unbefugten Eindringens in ein Datenverarbeitungssystem, stellte dieses jedoch mit Verfügung vom 6. Mai 2021 ein. Eine gegen die Verfahrenseinstellung erhobene Beschwerde von A.________ wies das Appellationsgericht des Kantons Basel-Stadt am 2. November 2021 ab. Mit Beschwerde in Strafsachen beantragt A.________, der angefochtene Entscheid sei aufzuheben und B.________ sei des unbefugten Eindringens in ein Datenverarbeitungssystem schuldig zu sprechen. Eventualiter sei die Sache zur neuen Entscheidung an die Vorinstanz zurückzuweisen.</w:t>
      </w:r>
    </w:p>
    <w:p>
      <w:r>
        <w:rPr>
          <w:b/>
        </w:rPr>
        <w:t>E. 2</w:t>
      </w:r>
    </w:p>
    <w:p>
      <w:r>
        <w:t>Die Privatklägerschaft ist zur Beschwerde in Strafsachen nur berechtigt, wenn der angefochtene Entscheid sich auf die Beurteilung ihrer Zivilansprüche auswirken kann (Art. 81 Abs. 1 Bst. b Ziff. 5 BGG). Richtet sich die Beschwerde gegen die Einstellung oder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 6B_865/2021 vom 16. September 2021 E. 1.1; je mit Hinweis).</w:t>
      </w:r>
    </w:p>
    <w:p>
      <w:r>
        <w:rPr>
          <w:b/>
        </w:rPr>
        <w:t>E. 3</w:t>
      </w:r>
    </w:p>
    <w:p>
      <w:r>
        <w:t>Die Beschwerdeführerin hat sich im kantonalen Verfahren als Privatklägerin konstituiert. Vor Bundesgericht behauptet sie ohne weitere Begründung, zur Beschwerde in Strafsachen legitimiert zu sein. Damit genügt sie den aus Art. 42 Abs. 2 BGG fliessenden Begründungsanforderungen klarerweise nicht. Insbesondere benennt sie keine ihr zustehenden unmittelbar aus der angeblichen Straftat resultierenden Zivilforderungen und legt nicht dar, inwiefern solche durch den vorinstanzlichen Entscheid betroffen sind oder sein könnten. Dies ist beim von ihr erhobenen Tatvorwurf des unbefugten Eindringens in ein Datenverarbeitungssystem auch nicht ohne Weiteres ersichtlich, weshalb es ihr vorliegend an der Beschwerdelegitimation fehlt.</w:t>
      </w:r>
    </w:p>
    <w:p>
      <w:r>
        <w:rPr>
          <w:b/>
        </w:rPr>
        <w:t>E. 4</w:t>
      </w:r>
    </w:p>
    <w:p>
      <w:r>
        <w:t>Unabhängig von der fehlenden Sachlegitimation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(sog. "Star-Praxis"; BGE 146 IV 76 E. 2; 141 IV 1 E. 1.1; 138 IV 248 E. 2; je mit Hinweisen). Die Ausführungen in der Beschwerde zielen einzig auf eine materielle Überprüfung des angefochtenen Entscheids ab. Formelle Rügen entsprechend der dargestellten "Star-Praxis" finden sich darin keine, womit auch unter diesem Titel auf die Beschwerde nicht einzutreten ist.</w:t>
      </w:r>
    </w:p>
    <w:p>
      <w:r>
        <w:rPr>
          <w:b/>
        </w:rPr>
        <w:t>E. 5</w:t>
      </w:r>
    </w:p>
    <w:p>
      <w:r>
        <w:t>Auf die Beschwerde wird im Verfahren nach Art. 108 Abs. 1 BGG nicht eingetreten. Bei diesem Verfahrensausgang wird die Beschwerdeführerin kostenpflichtig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