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6B_148/2010 vom 26. April 2010</w:t>
      </w:r>
    </w:p>
    <w:p>
      <w:r>
        <w:t>Bundesgericht, 2010-04-26, DE</w:t>
      </w:r>
    </w:p>
    <w:p>
      <w:r>
        <w:rPr>
          <w:b/>
        </w:rPr>
        <w:t xml:space="preserve">Quelle: </w:t>
      </w:r>
      <w:r>
        <w:t>https://mcp.opencaselaw.ch/entscheid/bger_6B_148_2010</w:t>
      </w:r>
    </w:p>
    <w:p>
      <w:r>
        <w:t>FR: TF 6B_148/2010 du 26 avril 2010</w:t>
      </w:r>
    </w:p>
    <w:p>
      <w:r>
        <w:t>IT: TF 6B_148/2010 del 26 aprile 2010</w:t>
      </w:r>
    </w:p>
    <w:p>
      <w:pPr>
        <w:pStyle w:val="Heading2"/>
      </w:pPr>
      <w:r>
        <w:t>Erwägungen</w:t>
      </w:r>
    </w:p>
    <w:p>
      <w:r>
        <w:rPr>
          <w:b/>
        </w:rPr>
        <w:t>E. 1.1</w:t>
      </w:r>
    </w:p>
    <w:p>
      <w:r>
        <w:t>Der Beschwerdeführer wirft der Vorinstanz eine willkürliche Beweiswürdigung ( Art. 9 BV ) und die Verletzung des rechtlichen Gehörs ( Art. 29 Abs. 2 BV ) vor.</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 Die Beschwerdeschrift muss die wesentlichen Tatsachen und eine kurz gefasste Darlegung darüber enthalten, welche verfassungsmässigen Rechte bzw. welche Rechtssätze inwiefern durch den angefochtenen Entscheid verletzt worden sind ( Art. 106 Abs. 2 BGG ; BGE 135 III 232 E. 1.2 S. 234; 134 II 244 E. 2.2 S. 246; je mit Hinweisen).</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Hinweisen).</w:t>
      </w:r>
    </w:p>
    <w:p>
      <w:r>
        <w:rPr>
          <w:b/>
        </w:rPr>
        <w:t>E. 1.3</w:t>
      </w:r>
    </w:p>
    <w:p>
      <w:r>
        <w:t>Die A.________ Versicherung liess die Fahrzeugschlüssel von der BMW AG untersuchen. Diese hielt fest, dass zum Fahrzeug des Beschwerdeführers drei Schlüssel (zwei Hauptschlüssel und ein Geldbörsenschlüssel) gehörten. Sie kam zum Ergebnis, dass ein Hauptschlüssel am 30. Oktober 2006 das letzte Mal benutzt worden sei, während der andere Hauptschlüssel noch nicht eingesetzt worden sei. Der Geldbörsenschlüssel speichere keine Daten zur Laufleistung und zum Zeitpunkt der Benutzung (vorinstanzliche Akten act. S/9).</w:t>
      </w:r>
    </w:p>
    <w:p>
      <w:r>
        <w:t>Die Vorinstanz legt insbesondere dar, die Behauptung des Beschwerdeführers, wonach er das Fahrzeug am 2. November 2006 noch gefahren habe, stehe im Widerspruch zur Analyse der Autoschlüssel. Der Beschwerdeführer habe erklärt, in Novi Sad nur einen Hauptschlüssel auf sich getragen und die anderen zwei Schlüssel in St. Gallen zurückgelassen zu haben. Hinweise auf eine mögliche Manipulation der Daten auf dem Bordcomputer oder dem fraglichen Schlüssel bestünden nicht. Die Vorinstanz lässt in ihre Beweiswürdigung auch die Angaben von Interpol Sofia (Bulgarien) einfliessen. Danach wurde das Fahrzeug mit den Kontrollschildern SG xxxxxx von B.________ am 1. November 2006 von Mazedonien nach Bulgarien und am 2. November 2006 von Bulgarien in die Türkei gefahren (angefochtener Entscheid S. 3 ff., vorinstanzliche Akten act. S/11).</w:t>
      </w:r>
    </w:p>
    <w:p>
      <w:r>
        <w:rPr>
          <w:b/>
        </w:rPr>
        <w:t>E. 1.4</w:t>
      </w:r>
    </w:p>
    <w:p>
      <w:r>
        <w:t>Der Beschwerdeführer macht wie bereits vor Vorinstanz geltend, die Auswertung des Fahrzeugschlüssels sei auf privatem Wege erfolgt. Das Privatgutachten sei nicht verwertbar (Beschwerde S. 3 f.). Die Rüge ist unzutreffend. Wohl hat ein Parteigutachten nicht den gleichen Stellenwert wie ein Gutachten, das von der Untersuchungsbehörde oder vom Gericht eingeholt worden ist. Der Privatgutachter wird von einer Partei beauftragt, weshalb er nicht unabhängig und unparteiisch ist wie der amtliche Sachverständige. Auch fällt er nicht unter den Anwendungsbereich von Art. 307 StGB betreffend falsches Gutachten. Den Parteigutachten wird denn auch nach der Rechtsprechung des Bundesgerichts nicht die Qualität von Beweismitteln, sondern von blossen Parteivorbringen beigemessen ( BGE 132 III 83 E. 3.4 S. 87 f. mit Hinweisen). Dennoch durfte die Vorinstanz die Ergebnisse der Analyse durch die BMW AG berücksichtigen. Soweit der Beschwerdeführer die Resultate in Frage stellt, wiederholt er seine bereits vor Vorinstanz erhobenen Einwände, die sich in unzulässiger appellatorischer Kritik erschöpfen. Er führt insbesondere aus, sein Fahrzeug verfüge über keine Funkuhr, weshalb ein falsch eingestelltes Datum im Bordcomputer und die Aufzeichnung von unrichtigen Daten auf dem Schlüssel nicht ausgeschlossen werden könnten (Beschwerde S. 3 f.). Dieses Vorbringen vermag zwar die Richtigkeit der ermittelten Daten theoretisch in Zweifel zu ziehen. Der Beschwerdeführer legt hingegen nicht dar, dass das vorinstanzliche Beweisergebnis schlechterdings nicht mehr vertretbar sein sollte. Im Übrigen vermag er aus dem Fehlen zurückliegender Daten nichts zu seinen Gunsten abzuleiten. Insbesondere bedeutete ein allfälliger Hinweis auf eine Fahrt am 18. Oktober 2006 während der Abwesenheit des Beschwerdeführers nicht ohne Weiteres, dass die Aufzeichnung der Daten fehlerhaft sein müsste. Denkbar wäre auch, dass das Fahrzeug von einer Drittperson benutzt worden wäre.</w:t>
      </w:r>
    </w:p>
    <w:p>
      <w:r>
        <w:t>Indem der Beschwerdeführer im Hinblick auf die Angaben von Interpol Sofia (über die Grenzübertritte von Mazedonien nach Bulgarien und von Bulgarien in die Türkei) seine Ausführungen vor Vorinstanz wiedergibt (Beschwerde S. 4 f.), stellt er der Würdigung der Vorinstanz einzig seine eigene Sicht der Dinge gegenüber. Die Vorinstanz erwägt beispielsweise, der behauptete Umweg von Serbien über Mazedonien und Bulgarien in die Türkei sei nicht relevant, da das Fahrzeug zum besagten Zeitpunkt noch nicht als gestohlen gemeldet gewesen sei (angefochtener Entscheid S. 5). Der Beschwerdeführer setzt sich mit den Erwägungen im angefochtenen Entscheid nicht auseinander. Die blosse Darlegung der eigenen Sichtweise ist indessen nicht geeignet, Willkür darzutun. Denn Willkür liegt nach ständiger bundesgerichtlicher Rechtsprechung nicht schon vor, wenn das angefochtene Urteil mit der Darstellung des Beschwerdeführers nicht übereinstimmt oder eine andere Lösung oder Würdigung auch vertretbar erscheint oder gar vorzuziehen wäre, sondern einzig,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135 V 2 E. 1.3 S. 4 f. mit Hinweisen). Dass und inwiefern das vorinstanzliche Beweisergebnis schlechterdings nicht mehr vertretbar sein sollte, zeigt der Beschwerdeführer nicht auf, und solches ist auch nicht ersichtlich. Die Beschwerde erweist sich daher als unbegründet, soweit sie den Begründungsanforderungen von Art. 42 Abs. 2 und Art. 106 Abs. 2 BGG überhaupt zu genügen vermag.</w:t>
      </w:r>
    </w:p>
    <w:p>
      <w:r>
        <w:t>Die Vorinstanz durfte willkürfrei in vorweggenommener Beweiswürdigung die Auskünfte von Interpol Sofia als zutreffend qualifizieren und von der Einholung weiterer Angaben der Grenzbehörden absehen, weshalb auch keine Verletzung des rechtlichen Gehörs vorliegt. Soweit der Beschwerdeführer eine entsprechende Verfassungsverletzung im Übrigen darin sieht, dass "seine Beweisofferten" nicht abgenommen worden seien (Beschwerde S. 3), ist die Rüge nicht genügend substanziiert ( Art. 106 Abs. 2 BGG ). Darauf ist nicht einzutreten.</w:t>
      </w:r>
    </w:p>
    <w:p>
      <w:r>
        <w:rPr>
          <w:b/>
        </w:rPr>
        <w:t>E. 2</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