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6B_1487/2021 vom 18. Januar 2023</w:t>
      </w:r>
    </w:p>
    <w:p>
      <w:r>
        <w:t>Bundesgericht, 2023-01-18, DE</w:t>
      </w:r>
    </w:p>
    <w:p>
      <w:r>
        <w:rPr>
          <w:b/>
        </w:rPr>
        <w:t xml:space="preserve">Quelle: </w:t>
      </w:r>
      <w:r>
        <w:t>https://mcp.opencaselaw.ch/entscheid/bger_6B_1487_2021</w:t>
      </w:r>
    </w:p>
    <w:p>
      <w:r>
        <w:t>FR: TF 6B_1487/2021 du 18 janvier 2023</w:t>
      </w:r>
    </w:p>
    <w:p>
      <w:r>
        <w:t>IT: TF 6B_1487/2021 del 18 gennaio 2023</w:t>
      </w:r>
    </w:p>
    <w:p>
      <w:pPr>
        <w:pStyle w:val="Heading2"/>
      </w:pPr>
      <w:r>
        <w:t>Erwägungen</w:t>
      </w:r>
    </w:p>
    <w:p>
      <w:r>
        <w:rPr>
          <w:b/>
        </w:rPr>
        <w:t>E. 1</w:t>
      </w:r>
    </w:p>
    <w:p>
      <w:r>
        <w:t>Der Privatklägerschaft wird ein rechtlich geschütztes Interesse an der Beschwerde zuerkannt, wenn sich der angefochtene Entscheid auf die Beurteilung ihrer Zivilansprüche auswirken kann (Art. 81 Abs. 1 lit. b Ziff. 5 BGG). Keine Zivilansprüche sind solche, die sich aus öffentlichem Recht, etwa Staatshaftungsrecht ergeben ( BGE 146 IV 76 E. 3.1 mit Hinweis). Die Privatklägerschaft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es auf die Beschwerde nicht ein ( BGE 141 IV 1 E. 1.1 mit Hinweisen).</w:t>
      </w:r>
    </w:p>
    <w:p>
      <w:r>
        <w:t>Der Beschwerdeführer kommt den erhöhten Begründungsanforderungen nicht nach, zumal er sich dazu nicht äussert. Aus dem angefochtenen Entscheid erhellt zudem, dass der Beschwerdegegner 2 C.________ beim Tiefbauamt des Kantons Schaffhausen ist. Gemäss Art. 3 Abs. 1 des Gesetzes vom 23. September 1985 über die Haftung des Staates und der Gemeinden sowie ihrer Behördenmitglieder und Arbeitnehmer des Kantons Schaffhausen (Haftungsgesetz; SR/SH 170.300) haftet der Staat für den Schaden, den ein Arbeitnehmer in Ausübung amtlicher Verrichtung einem Dritten widerrechtlich zufügt; dem Geschädigten steht gegen den Arbeitnehmer kein Anspruch zu. Der Freispruch des Beschwerdegegners 2 kann sich somit von vornherein nicht auf Zivilansprüche des Beschwerdeführers jenem gegenüber auswirken. Formelle Rügen nach dem Verfahrensrecht, der Bundesverfassung oder der EMRK, die ihm unbesehen der fehlenden Legitimation in der Sache zustehen, macht der Beschwerdeführer nicht geltend.</w:t>
      </w:r>
    </w:p>
    <w:p>
      <w:r>
        <w:t>Auf die Beschwerde ist daher nicht einzutreten. Ausgangsgemäss hat der Beschwerdeführer die Gerichtskosten zu tragen ( Art. 66 Abs. 1 BGG ). Eine Parteientschädigung an den Beschwerdegegner 2 ist nicht geschuldet, da sich dieser nicht vernehmen liess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