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6B_1486/2020 vom 3. Februar 2021</w:t>
      </w:r>
    </w:p>
    <w:p>
      <w:r>
        <w:t>Bundesgericht, 2021-02-03, DE</w:t>
      </w:r>
    </w:p>
    <w:p>
      <w:r>
        <w:rPr>
          <w:b/>
        </w:rPr>
        <w:t xml:space="preserve">Quelle: </w:t>
      </w:r>
      <w:r>
        <w:t>https://mcp.opencaselaw.ch/entscheid/bger_6B_1486_2020</w:t>
      </w:r>
    </w:p>
    <w:p>
      <w:r>
        <w:t>FR: TF 6B_1486/2020 du 3 février 2021</w:t>
      </w:r>
    </w:p>
    <w:p>
      <w:r>
        <w:t>IT: TF 6B_1486/2020 del 3 febbraio 2021</w:t>
      </w:r>
    </w:p>
    <w:p>
      <w:pPr>
        <w:pStyle w:val="Heading2"/>
      </w:pPr>
      <w:r>
        <w:t>Erwägungen</w:t>
      </w:r>
    </w:p>
    <w:p>
      <w:r>
        <w:rPr>
          <w:b/>
        </w:rPr>
        <w:t>E. 1</w:t>
      </w:r>
    </w:p>
    <w:p>
      <w:r>
        <w:t>Die Vorinstanz verurteilte den Beschwerdeführer am 12. Oktober 2020 im Berufungsverfahren wegen Fahrens in fahrunfähigem Zustand zu einer bedingten Geldstrafe von 45 Tagessätzen zu Fr. 30.- bei einer Probezeit von zwei Jahren sowie einer Busse von Fr. 300.-.</w:t>
      </w:r>
    </w:p>
    <w:p>
      <w:r>
        <w:t>Der Beschwerdeführer beantragt mit Beschwerde in Strafsachen zusammengefasst, das Urteil der Vorinstanz aufzuheben und das gegen ihn geführte Strafverfahren unter Kosten- und Entschädigungsfolgen zu seinen Gunsten einzustellen. Eventualiter sei er wegen fahrlässigen Fahrens in fahrunfähigem Zustand zu einer Busse zu verurteilen.</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 BGE 140 III 115 E. 2). Im Rahmen der Sachverhaltsrüge genügt es nicht, einen von den tatsächlichen Feststellungen der Vorinstanz abweichenden Sachverhalt zu behaupten (Urteil 6B_3/2016 vom 28. Oktober 2016 E. 2.2; je mit Hinweisen).</w:t>
      </w:r>
    </w:p>
    <w:p>
      <w:r>
        <w:rPr>
          <w:b/>
        </w:rPr>
        <w:t>E. 3</w:t>
      </w:r>
    </w:p>
    <w:p>
      <w:r>
        <w:t>Die Beschwerde genügt nicht den gesetzlichen Begründungsanforderungen. Der Beschwerdeführer setzt sich mit den Erwägungen der Vorinstanz nicht sachgerecht auseinander. Er beschränkt sich darauf, seine von der Vorinstanz im kantonalen Beschwerdeverfahren verworfenen tatsächlichen und rechtlichen Einwendungen zu wiederholen. Seine Sachrügen gehen über eine appellatorische Kritik an der vorinstanzlichen Beweiswürdigung nicht hinaus. Er verkennt, dass das Bundesgericht keine Appellationsinstanz ist, die eine freie Prüfung in tatsächlicher Hinsicht vornimmt (Urteile 6B_1328/2020 vom 5. Januar 2021 E. 3; 6B_800/2016 vom 25. Oktober 2017 E. 10.3.1, nicht publ. in: BGE 143 IV 397 ; je mit Hinweisen). Seine Rechtsausführungen stützt er auf einen von den verbindlichen Feststellungen der Vorinstanz abweichenden Lebenssachverhalt, womit er nicht zu hören ist. Aus der Beschwerde ergibt sich mithin nicht, inwiefern das angefochtene Urteil willkürlich oder sonstwie bundesrechtswidrig sein soll.</w:t>
      </w:r>
    </w:p>
    <w:p>
      <w:r>
        <w:rPr>
          <w:b/>
        </w:rPr>
        <w:t>E. 4</w:t>
      </w:r>
    </w:p>
    <w:p>
      <w:r>
        <w:t>Auf die Beschwerde ist im Verfahren nach Art. 108 BGG nicht einzutreten. Das Gesuch um unentgeltliche Rechtspflege ist wegen Aussichtslosigkeit der Rechtsbegehren abzuweisen ( Art. 64 Abs. 1 BGG ). Dem Beschwerdeführer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