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6B_1485/2020 vom 5. Februar 2021</w:t>
      </w:r>
    </w:p>
    <w:p>
      <w:r>
        <w:t>Bundesgericht, 2021-02-05, DE</w:t>
      </w:r>
    </w:p>
    <w:p>
      <w:r>
        <w:rPr>
          <w:b/>
        </w:rPr>
        <w:t xml:space="preserve">Quelle: </w:t>
      </w:r>
      <w:r>
        <w:t>https://mcp.opencaselaw.ch/entscheid/bger_6B_1485_2020</w:t>
      </w:r>
    </w:p>
    <w:p>
      <w:r>
        <w:t>FR: TF 6B_1485/2020 du 5 février 2021</w:t>
      </w:r>
    </w:p>
    <w:p>
      <w:r>
        <w:t>IT: TF 6B_1485/2020 del 5 febbraio 2021</w:t>
      </w:r>
    </w:p>
    <w:p>
      <w:pPr>
        <w:pStyle w:val="Heading2"/>
      </w:pPr>
      <w:r>
        <w:t>Erwägungen</w:t>
      </w:r>
    </w:p>
    <w:p>
      <w:r>
        <w:rPr>
          <w:b/>
        </w:rPr>
        <w:t>E. 1</w:t>
      </w:r>
    </w:p>
    <w:p>
      <w:r>
        <w:t>Der Beschwerdeführer erstattete am 9. Oktober 2020 Strafanzeige gegen den Kanton Bern, dessen Kantonsärztin und einen Regierungsrat wegen Nötigung, einfacher Körperverletzung und Betrug. Die Kantonale Staatsanwaltschaft für Besondere Aufgaben verfügte am 18. November 2020, kein Strafverfahren zu eröffnen. Die vom Beschwerdeführer gegen die Nichtanhandnahmeverfügung erhobene Beschwerde wies die Vorinstanz mit Beschluss vom 15. Dezember 2020 ab.</w:t>
      </w:r>
    </w:p>
    <w:p>
      <w:r>
        <w:t>Der Beschwerdeführer beantragt mit Beschwerde in Strafsachen sinngemäss, der vorinstanzliche Entscheid sei aufzuheben, ebenso die "Maskenpflicht und drakonischen Massnahmen".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weder mit den vorinstanzlichen Erwägungen auseinander, noch äussert er sich zu seiner Beschwerdelegitimation und allfälligen Zivilforderungen. Er beschränkt sich darauf, seine persönliche Sichtweise zur aktuellen Corona-Pandemie und den damit verbundenen Gefahren darzulegen sowie die staatlichen Massnahmen zu deren Eindämmung zu kritisieren. Darüber hinaus verkennt er, dass er vorliegend nicht zur Beschwerde in Strafsachen legitimiert ist. Schadenersatz- und Genugtuungsansprüche infolge eines allfälligen strafbaren Verhaltens der angezeigten Personen würden sich nach dem Personalgesetz des Kantons Bern vom 16. September 2004 richten (PG/BE; BSG 153.01) und wären demnach öffentlich-rechtlicher Natur. Der angefochtene Entscheid kann sich demnach nicht auf Zivilansprüche im Sinne von Art. 81 Abs. 1 lit. b Ziff. 5 BGG auswirken (vgl. BGE 146 IV 76 E. 3.1).</w:t>
      </w:r>
    </w:p>
    <w:p>
      <w:r>
        <w:rPr>
          <w:b/>
        </w:rPr>
        <w:t>E. 4</w:t>
      </w:r>
    </w:p>
    <w:p>
      <w:r>
        <w:t>Auf die Beschwerde ist im Verfahren gemäss Art. 108 BGG nicht einzutreten. Dem Beschwerdeführer sind die Gerichtskosten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