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6B_147/2016 vom 12. Oktober 2016</w:t>
      </w:r>
    </w:p>
    <w:p>
      <w:r>
        <w:t>Bundesgericht, 2016-10-12, FR</w:t>
      </w:r>
    </w:p>
    <w:p>
      <w:r>
        <w:rPr>
          <w:b/>
        </w:rPr>
        <w:t xml:space="preserve">Quelle: </w:t>
      </w:r>
      <w:r>
        <w:t>https://mcp.opencaselaw.ch/entscheid/bger_6B_147_2016</w:t>
      </w:r>
    </w:p>
    <w:p>
      <w:r>
        <w:t>FR: TF 6B_147/2016 du 12 octobre 2016</w:t>
      </w:r>
    </w:p>
    <w:p>
      <w:r>
        <w:t>IT: TF 6B_147/2016 del 12 ottobre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la loi vaudoise du 16 mai 1961 sur la responsabilité de l'Etat, des communes et de leurs agents (LRECA; RS/VD 170.11),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en l'espèce que d'une prétention de droit public à faire valoir non pas contre les auteurs présumés, agents de police, mais contre l'Etat (cf. ATF 128 IV 188 consid. 2.2 p. 191; arrêt 6B_774/2016 du 13 septembre 2016 consid. 2.1 et les références citées).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rPr>
          <w:b/>
        </w:rPr>
        <w:t>E. 1.2</w:t>
      </w:r>
    </w:p>
    <w:p>
      <w:r>
        <w:t>Nonobstant ce qui précède, 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w:t>
      </w:r>
    </w:p>
    <w:p>
      <w:r>
        <w:t>En particulier, l' art. 3 CEDH ,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131 I 455 consid. 1.2.5 p. 462 et les références citées).</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 L'allégation d'un traitement prohibé par l' art. 3 CEDH est défendable lorsqu'elle ne se révèle pas d'emblée dépourvue de crédibilité (cf. arrêt 6B_362/2009 du 13 juillet 2009 consid. 1.1 publié in PJA 2009 p. 1479 s.).</w:t>
      </w:r>
    </w:p>
    <w:p>
      <w:r>
        <w:t>La victime de traitements prohibés peut fonder son droit de recours sur les dispositions précitées ( ATF 138 IV 86 consid. 3.1.1 p. 86; arrêt 6B_362/2009 précité consid. 1.2).</w:t>
      </w:r>
    </w:p>
    <w:p>
      <w:r>
        <w:rPr>
          <w:b/>
        </w:rPr>
        <w:t>E. 1.3</w:t>
      </w:r>
    </w:p>
    <w:p>
      <w:r>
        <w:t>En l'occurrence, le recourant se plaint d'une arrestation violente, intervenue dans un contexte de discrimination raciale, lors de laquelle il a reçu des coups qui ont entraîné une perte de connaissance et une hospitalisation. Si les faits reprochés s'avéraient exacts, ils pourraient être assimilés à un traitement inhumain ou dégradant. Par ailleurs, les allégations du recourant ne se révèlent pas d'emblée contredites par des faits clairement établis. Le recourant a donc qualité pour recourir contre l'arrêt attaqué.</w:t>
      </w:r>
    </w:p>
    <w:p>
      <w:r>
        <w:rPr>
          <w:b/>
        </w:rPr>
        <w:t>E. 2</w:t>
      </w:r>
    </w:p>
    <w:p>
      <w:r>
        <w:t>Le recourant invoque une constatation manifestement inexacte des faits et soutient que son droit à une enquête effective découlant de l' art. 3 CEDH , combiné avec l'art. 1 ou l' art. 13 CEDH , a été violé.</w:t>
      </w:r>
    </w:p>
    <w:p>
      <w:r>
        <w:rPr>
          <w:b/>
        </w:rPr>
        <w:t>E. 2.1</w:t>
      </w:r>
    </w:p>
    <w:p>
      <w:r>
        <w:t>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 de la CourEDH Abdu c. Bulgarie du 11 mars 2014, par. 43; arrêts 6B_152/2014 du 6 janvier 2015 consid. 3.1; 1B_771/2012 du 20 août 2013 consid. 2.1; 1B_10/2012 du 29 mars 2012 consid. 1.2.3).</w:t>
      </w:r>
    </w:p>
    <w:p>
      <w:r>
        <w:rPr>
          <w:b/>
        </w:rPr>
        <w:t>E. 2.2</w:t>
      </w:r>
    </w:p>
    <w:p>
      <w:r>
        <w:t>En l'espèce, le recourant a expliqué dans sa plainte que la police l'avait jeté en dehors du train et couché en pleine rue de manière extrêmement brutale. Il avait reçu des coups, avait été menotté, puis s'était évanoui. Il n'avait repris connaissance qu'après plusieurs heures, à l'Hôpital A.________, où il était resté hospitalisé durant quatre jours.</w:t>
      </w:r>
    </w:p>
    <w:p>
      <w:r>
        <w:t>A réception de la plainte du recourant, le ministère public a requis la production du rapport de police relatif à cette intervention. Il en ressort que les agents de police ont dû user de la contrainte pour faire sortir le recourant du train et que celui-ci s'est blessé à la tête en tombant sur le quai, de sorte qu'il présentait une marque sur sa pommette gauche. Le rapport ajoute qu'après avoir été menotté, le recourant "</w:t>
      </w:r>
    </w:p>
    <w:p>
      <w:r>
        <w:t>a semblé perdre connaissance " et a été transporté à l'hôpital par ambulance. Le ministère public n'a procédé à aucun autre acte d'enquête et a rendu une ordonnance de non-entrée en matière en se fondant uniquement sur ce rapport de police.</w:t>
      </w:r>
    </w:p>
    <w:p>
      <w:r>
        <w:t>A l'appui de son recours contre cette ordonnance, le recourant a produit un document de transmission établi par l'Hôpital A.________. La cour cantonale a constaté que ce document ne faisait pas mention de violence ou de coups, notamment à la tête, qui auraient pu provoquer un malaise ayant nécessité l'hospitalisation dont le recourant avait fait l'objet. A l'inverse, le motif de la prise en charge du patient figurant sur ce document faisait état d'un malaise d'origine indéterminée. Les médecins semblaient exclure un trouble neurologique au profit d'un trouble de conversion hystérique pour lequel ils demandaient un avis psychiatrique. La cour cantonale en a déduit que les indices tendant à admettre une brutalité policière étaient très faibles, voire inexistants. Les policiers avaient agi dans le cadre de leur fonction, en vertu de l'art. 25 du Règlement général de police de l'Association de communes sécurité Riviera, et de manière proportionnée dans la mesure où aucune trace de violence n'avait été relevée. Pour ces motifs, l'autorité précédente a confirmé l'ordonnance de non-entrée en matière.</w:t>
      </w:r>
    </w:p>
    <w:p>
      <w:r>
        <w:rPr>
          <w:b/>
        </w:rPr>
        <w:t>E. 2.3</w:t>
      </w:r>
    </w:p>
    <w:p>
      <w:r>
        <w:t>Il est admis que le recourant a perdu connaissance au moment de son appréhension, que les policiers ont dû appeler une ambulance qui l'a conduit à l'hôpital, et qu'il y est demeuré pendant quatre jours. Cet incident sérieux survenu lors d'une intervention de police implique que des investigations soient menées dans le but d'en déterminer la cause. Or, le rapport de police recueilli par le ministère public ne contient que des informations très générales à ce sujet. Il indique que le recourant s'est légèrement cogné la tête contre le sol et présentait une marque sur la pommette, mais ne semble pas lier ces faits à son évanouissement survenu par la suite. Aucune autre mesure d'investigation, telle que l'identification et l'audition des agents de police ayant pris part à l'intervention, ou encore l'apport du dossier médical du recourant, n'a été entreprise afin d'établir les faits. Ainsi, en se bornant à obtenir copie du rapport de police, lequel fait état d'une atteinte à la santé du recourant sans explication sur son origine, le ministère public n'a pas diligenté une enquête approfondie et effective telle qu'exigée par la jurisprudence (cf. arrêt 6B_362/2009 du 13 juillet 2009 consid. 1.4).</w:t>
      </w:r>
    </w:p>
    <w:p>
      <w:r>
        <w:t>La cour cantonale s'est quant à elle essentiellement fondée sur le document médical de transmission de l'Hôpital A.________, produit par l'intéressé à l'appui du recours cantonal, pour conclure que les faits dénoncés n'étaient pas constitutifs d'une infraction pénale. Cependant, même si ce document médical ne relève aucune lésion physique, les policiers ont constaté que le recourant présentait une marque à la pommette. Mais surtout, le trouble de conversion hystérique diagnostiqué n'exclut pas encore la commission d'un ou plusieurs acte (s) répréhensible (s) par les agents de police à l'endroit du recourant. En effet, de tels agissement ont pu avoir lieu indépendamment de la manifestation de ce trouble, ou même l'avoir provoqué, ce qui serait pertinent notamment sous l'angle de l'infraction visée par l' art. 123 CP (cf. ATF 134 IV 189 consid. 1.4). Dans la mesure où le document médical produit n'est pas décisif, la cour cantonale ne pouvait se fonder sur cette pièce pour confirmer l'ordonnance de non-entrée en matière rendue en violation des art. 3 et 1 ou 13 CEDH . Le recours sera admis pour ce motif.</w:t>
      </w:r>
    </w:p>
    <w:p>
      <w:r>
        <w:rPr>
          <w:b/>
        </w:rPr>
        <w:t>E. 3</w:t>
      </w:r>
    </w:p>
    <w:p>
      <w:r>
        <w:t>L'arrêt attaqué doit ainsi être annulé et la cause renvoyée à l'autorité cantonale pour qu'elle ordonne une enquête approfondie et effective en conformité avec l' art. 3 CEDH . Vu le motif du renvoi, le Tribunal fédéral peut statuer sans préalablement requérir des observations ( ATF 133 IV 293 consid. 3.4.2 p. 295 s.).</w:t>
      </w:r>
    </w:p>
    <w:p>
      <w:r>
        <w:t>Le canton de Vaud sera dispensé des frais ( art. 66 al. 4 LTF ). Il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