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147/2008 vom 17. April 2008</w:t>
      </w:r>
    </w:p>
    <w:p>
      <w:r>
        <w:t>Bundesgericht, 2008-04-17, DE</w:t>
      </w:r>
    </w:p>
    <w:p>
      <w:r>
        <w:rPr>
          <w:b/>
        </w:rPr>
        <w:t xml:space="preserve">Quelle: </w:t>
      </w:r>
      <w:r>
        <w:t>https://mcp.opencaselaw.ch/entscheid/bger_6B_147_2008</w:t>
      </w:r>
    </w:p>
    <w:p>
      <w:r>
        <w:t>FR: TF 6B 147/2008 du 17 avril 2008</w:t>
      </w:r>
    </w:p>
    <w:p>
      <w:r>
        <w:t>IT: TF 6B 147/2008 del 17 aprile 2008</w:t>
      </w:r>
    </w:p>
    <w:p>
      <w:pPr>
        <w:pStyle w:val="Heading2"/>
      </w:pPr>
      <w:r>
        <w:t>Regeste</w:t>
      </w:r>
    </w:p>
    <w:p>
      <w:r>
        <w:t>Nichteintreten auf eine Strafanzeige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vorliegenden drei Beschwerden erweisen sich als rechtsmissbräuchlich und querulatorisch (Art. 42 Abs. 7 i.V.m. Art. 108 Abs. 1 lit. c BGG ). Sie unterscheiden sich nach ihrer Art in nichts von denjenigen vom 10. Februar 2007 (vgl. dazu Urteil des Bundesgerichts 1B_17/2007 vom 7. März 2007), vom 23. November 2007 (vgl. dazu Urteil des Bundesgerichts 1B_265/2007 vom 18. Dezember 2007) und vom 10. Februar 2008 (vgl. dazu Urteil des Bundesgerichts 1F_5/2008 vom 22. Februar 2008). Der Beschwerdeführer ist vollumfänglich, auch was das Ausstandsbegehren betrifft, auf die Erwägungen dieser Urteile, insbesondere aber auf jenes vom 7. März 2007, zu verweisen.</w:t>
      </w:r>
    </w:p>
    <w:p>
      <w:r>
        <w:rPr>
          <w:b/>
        </w:rPr>
        <w:t>E. 2</w:t>
      </w:r>
    </w:p>
    <w:p>
      <w:r>
        <w:t>Auf die vorliegenden Beschwerden und sämtliche damit verbundenen Gesuche ist im vereinfachten Verfahren nach Art. 108 BGG nicht einzutreten. Diesem Verfahrensausgang entsprechend sind die Gerichtskosten dem Beschwerdeführer aufzuerlegen ( Art. 66 Abs. 1 und 3 BGG ). Die Gesuche um Gewährung der unentgeltlichen Rechtspflege sind wegen Aussichtslosigkeit der Rechtsbegehren abzuweisen ( Art. 64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