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1478/2022 vom 1. Februar 2023</w:t>
      </w:r>
    </w:p>
    <w:p>
      <w:r>
        <w:t>Bundesgericht, 2023-02-01, DE</w:t>
      </w:r>
    </w:p>
    <w:p>
      <w:r>
        <w:rPr>
          <w:b/>
        </w:rPr>
        <w:t xml:space="preserve">Quelle: </w:t>
      </w:r>
      <w:r>
        <w:t>https://mcp.opencaselaw.ch/entscheid/bger_6B_1478_2022</w:t>
      </w:r>
    </w:p>
    <w:p>
      <w:r>
        <w:t>FR: TF 6B 1478/2022 du 1 février 2023</w:t>
      </w:r>
    </w:p>
    <w:p>
      <w:r>
        <w:t>IT: TF 6B 1478/2022 del 1 febbraio 2023</w:t>
      </w:r>
    </w:p>
    <w:p>
      <w:pPr>
        <w:pStyle w:val="Heading2"/>
      </w:pPr>
      <w:r>
        <w:t>Regeste</w:t>
      </w:r>
    </w:p>
    <w:p>
      <w:r>
        <w:t>Einfache Verletzung der Verkehrsregeln; Tätlichkeiten; Nichteintreten | Straftaten</w:t>
      </w:r>
    </w:p>
    <w:p>
      <w:pPr>
        <w:pStyle w:val="Heading2"/>
      </w:pPr>
      <w:r>
        <w:t>Erwägungen</w:t>
      </w:r>
    </w:p>
    <w:p>
      <w:r>
        <w:rPr>
          <w:b/>
        </w:rPr>
        <w:t>E. 1</w:t>
      </w:r>
    </w:p>
    <w:p>
      <w:r>
        <w:t>Mit Entscheid vom 29. August 2022 büsste das Obergericht des Kantons Thurgau den Beschwerdeführer unter Kostenauflage wegen einfacher Verkehrsregelverletzung und Tätlichkeiten mit Fr. 900.-- (Ersatzfreiheitsstrafe 9 Tage). Dagegen wendet sich der Beschwerdeführer mit Beschwerde an das Bundesgericht.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6B_3/2016 vom 28. Oktober 2016 E. 2.2; je mit Hinweisen). Waren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 6B_38/2022 vom 11. Mai 2022 E. 3.2 mit Hinweis auf Urteil 6B_1047/2018 vom 19. Februar 2019 E. 1.1.2).</w:t>
      </w:r>
    </w:p>
    <w:p>
      <w:r>
        <w:rPr>
          <w:b/>
        </w:rPr>
        <w:t>E. 3</w:t>
      </w:r>
    </w:p>
    <w:p>
      <w:r>
        <w:t>Diesen Anforderungen wird die Beschwerde nicht gerecht. Der Beschwerdeführer begnügt sich vielmehr damit, von Betrügerei und Manipulation zu sprechen, dem Bundesgericht sein eigenes Narrativ zu unterbreiten und namentlich eine eigenständige Würdigung u.a. von Messdaten, Aussagen und Fotodokumentation vorzunehmen, ohne sich dabei mit den vorinstanzlichen Erwägungen hinreichend auseinanderzusetzen, geschweige denn auf die erstinstanzlichen Sachverhaltsfeststellungen in einer den Formerfordernissen genügenden Weise Bezug zu nehmen, um darzulegen, inwiefern die Vorinstanz Willkür zu Unrecht verneint haben soll. Entsprechend unsubstanziiert bleibt denn auch der seine Sicht der Dinge wiedergebende, pauschale Vorwurf, es seien Tatsachen und Beweise weggelassen worden. Dass und inwiefern die angerufenen Verfassungsbestimmungen ( Art. 9, Art. 29 Abs. 2 BV ) verletzt sein könnten, lässt sich der Beschwerde nicht entnehmen. Der Begründungsmangel ist evident. Auf die Beschwerde ist im Verfahren nach Art. 108 BGG mangels tauglicher Begründung folglich nicht einzutreten.</w:t>
      </w:r>
    </w:p>
    <w:p>
      <w:r>
        <w:rPr>
          <w:b/>
        </w:rPr>
        <w:t>E. 4</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