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6B_1467/2019 vom 20. Februar 2020</w:t>
      </w:r>
    </w:p>
    <w:p>
      <w:r>
        <w:t>Bundesgericht, 2020-02-20, DE</w:t>
      </w:r>
    </w:p>
    <w:p>
      <w:r>
        <w:rPr>
          <w:b/>
        </w:rPr>
        <w:t xml:space="preserve">Quelle: </w:t>
      </w:r>
      <w:r>
        <w:t>https://mcp.opencaselaw.ch/entscheid/bger_6B_1467_2019</w:t>
      </w:r>
    </w:p>
    <w:p>
      <w:r>
        <w:t>FR: TF 6B_1467/2019 du 20 février 2020</w:t>
      </w:r>
    </w:p>
    <w:p>
      <w:r>
        <w:t>IT: TF 6B_1467/2019 del 20 febbraio 2020</w:t>
      </w:r>
    </w:p>
    <w:p>
      <w:pPr>
        <w:pStyle w:val="Heading2"/>
      </w:pPr>
      <w:r>
        <w:t>Erwägungen</w:t>
      </w:r>
    </w:p>
    <w:p>
      <w:r>
        <w:rPr>
          <w:b/>
        </w:rPr>
        <w:t>E. 1.1</w:t>
      </w:r>
    </w:p>
    <w:p>
      <w:r>
        <w:t>Der Beschwerdeführer rügt eine willkürliche Beweiswürdigung. Er macht geltend, die Geschwindigkeitsmessung sei möglicherweise fehlerhaft, da das LED-Licht des Fahrzeugs eine Fehlmessung verursachen könne. Nur mit einem Gutachten könne eine falsche Messung ausgeschlossen werden. Eine Verurteilung ohne ein solches sei willkürlich und verstosse gegen die Unschuldsvermutung sowie den Grundsatz "in dubio pro reo".</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Dem in Art. 10 Abs. 1 StPO , Art. 32 Abs. 1 BV und Art. 6 Ziff. 2 EMRK verankerten Grundsatz "in dubio pro reo" kommt als Maxime der Beweiswürdigung im Verfahren vor Bundesgericht keine über das Willkürverbot hinausgehende selbständige Bedeutung zu ( BGE 144 IV 345 E. 2.2.3.3; 143 IV 500 E. 1.1; je mit Hinweisen).</w:t>
      </w:r>
    </w:p>
    <w:p>
      <w:r>
        <w:rPr>
          <w:b/>
        </w:rPr>
        <w:t>E. 1.3</w:t>
      </w:r>
    </w:p>
    <w:p>
      <w:r>
        <w:t>Die Vorinstanz begründet sorgfältig und nachvollziehbar, weshalb sie auf ein Gutachten verzichtet und die Geschwindigkeitsüberschreitung von 30 km/h innerorts als erstellt erachtet. Nach ihren Erwägungen enthalten die in den Akten liegenden Fotos der Radarmessung keine Hinweise auf Unregelmässigkeiten oder auf eine ungültige Messung, obschon eine Fehlmessung meistens schon bei der Auswertung der Daten erkannt werde. Alle Daten, wie das verwendete Messgerät (ES 7.0 Nr. 7015), die Kamera, die Messstelle, das Datum, die Zeit und die gemessene Geschwindigkeit seien auf der Messung enthalten. Die Vorinstanz würdigt sodann die weiteren beigezogenen Daten. Sie erwägt, aus dem Eichzertifikat, der Ausbildungsbestätigung des Gerätebedieners, dem Protokoll der Geschwindigkeitskontrolle sowie aus dem Bericht von Fw B.________ ergebe sich, dass das Messgerät während der gesamten Kontrolle einwandfrei funktioniert habe. Schliesslich berücksichtigt sie den Umstand, dass der Beschwerdeführer auch nach Auffassung des die Messung durchführenden Beamten Fw B.________ von blossem Auge erkennbar zu schnell gefahren sei und der Beschwerdeführer selbst eingeräumt habe, er sei bewusst 80 km/h gefahren, weil er von einer Ausserortsstrecke ausgegangen sei. Der Beschwerdeführer vermag mit seinen Ausführungen zu angeblichen Fehlmessungen eines anderen Radargerätetyps, der vorliegend nicht eingesetzt wurde, keine Willkür aufzuzeigen. Angesichts dieser konkreten Umstände durfte die Vorinstanz eine Fehlfunktion des Radargerätes ausschliessen und den Antrag auf ein Gutachten betreffend die gemessene Geschwindigkeit in antizipierter Beweiswürdigung ( Art. 139 Abs. 2 StPO ; dazu Urteil 6B_582/2017 vom 19. Juni 2018 E. 2.1.1 mit Hinweisen; vgl. auch BGE 141 I 60 E. 3.3) abweisen, ohne in Willkür zu verfallen.</w:t>
      </w:r>
    </w:p>
    <w:p>
      <w:r>
        <w:t>Soweit der Beschwerdeführer im Übrigen vorbringt, er habe die Geschwindigkeitsbegrenzung nicht gesehen, weil er möglicherweise bei der Einfahrt in das Dorf Remetschwil ein anderes Fahrzeug gekreuzt habe und die Geschwindigkeitssignalisation generell nicht gut sichtbar sei, begnügt er sich mit appellatorischer Kritik am angefochtenen Urteil. Darauf ist nicht einzutreten.</w:t>
      </w:r>
    </w:p>
    <w:p>
      <w:r>
        <w:rPr>
          <w:b/>
        </w:rPr>
        <w:t>E. 2.1</w:t>
      </w:r>
    </w:p>
    <w:p>
      <w:r>
        <w:t>Der Beschwerdeführer wendet sich gegen die Verurteilung wegen grober Verkehrsregelverletzung durch Missachtung der signalisierten und zulässigen Höchstgeschwindigkeit innerorts gemäss Art. 90 Abs. 2 SVG i.V.m. Art. 27 Abs. 1 SVG und Art. 4a Abs. 1 lit. a der Verkehrsregelverordnung vom 13. November 1962 (VRV; SR 741.11). Er macht geltend, die Höchstgeschwindigkeit von 50 km/h sei nicht gesetzeskonform signalisiert und somit unverbindlich. Art. 103 der Signalisationsverordnung vom 5. September 1979 (SSV; SR 741.21) sei verletzt, wonach Verkehrssignale rechts am Strassenrand anzubringen seien. Das Signal "Höchstgeschwindigkeit 50 generell" stehe auf der linken Strassenseite, weshalb es nicht klar erkennbar gewesen sei. Es liege keine Ausnahme für eine linksseitige Signalisation vor.</w:t>
      </w:r>
    </w:p>
    <w:p>
      <w:r>
        <w:rPr>
          <w:b/>
        </w:rPr>
        <w:t>E. 2.2.1</w:t>
      </w:r>
    </w:p>
    <w:p>
      <w:r>
        <w:t>Wer durch grobe Verletzung von Verkehrsregeln eine ernstliche Gefahr für die Sicherheit anderer hervorruft oder in Kauf nimmt, macht sich nach Art. 90 Abs. 2 SVG strafbar.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d.h. ein schweres Verschulden, bei fahrlässigem Handeln mindestens grobe Fahrlässigkeit. Je schwerer die Verkehrsregelverletzung objektiv wiegt, desto eher wird Rücksichtslosigkeit subjektiv zu bejahen sein, sofern keine besonderen Gegenindizien vorliegen ( BGE 142 IV 93 E. 3.1 mit Hinweisen).</w:t>
      </w:r>
    </w:p>
    <w:p>
      <w:r>
        <w:rPr>
          <w:b/>
        </w:rPr>
        <w:t>E. 2.2.2</w:t>
      </w:r>
    </w:p>
    <w:p>
      <w:r>
        <w:t>Die allgemeine Höchstgeschwindigkeit für Fahrzeuge beträgt in Ortschaften unter günstigen Strassen-, Verkehrs- und Sichtverhältnissen 50 km/h. Sie beginnt beim Signal "Höchstgeschwindigkeit 50 generell" und endet beim Signal "Ende der Höchstgeschwindigkeit 50 generell" ( Art. 4a Abs. 1 lit. a und Abs. 2 VRV ).</w:t>
      </w:r>
    </w:p>
    <w:p>
      <w:r>
        <w:rPr>
          <w:b/>
        </w:rPr>
        <w:t>E. 2.2.3</w:t>
      </w:r>
    </w:p>
    <w:p>
      <w:r>
        <w:t>Art. 27 Abs. 1 SVG schreibt vor, dass Signale und Markierungen sowie die Weisungen der Polizei befolgt werden müssen. Nach der Rechtsprechung gilt diese Pflicht zur Befolgung von Signalen und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 BGE 128 IV 184 E. 4.2 f.; 113 IV 123 E. 2b; Urteile 6B_95/2017 vom 22. Mai 2017 E. 1.4.2; 6B_493/2015 vom 15. April 2016 E. 2.3.2; je mit Hinweisen).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 BGE 127 IV 229 E. 2c/aa und E. 2c/cc; Urteil 6B_493/2015 vom 15. April 2016 E. 2.3.2 mit Hinweis). Nach Art. 103 SSV stehen Signale am rechten Strassenrand. Sie können am linken Strassenrand wiederholt, über die Fahrbahn gehängt, auf Inseln gestellt oder in zwingenden Ausnahmefällen ausschliesslich links angebracht werden (Abs. 1 Satz 1 und 2). Signale werden so aufgestellt, dass sie rechtzeitig erkannt und nicht durch Hindernisse verdeckt werden (Abs. 2 Satz 1). Der Abstand zwischen dem Fahrbahnrand und der nächsten Signalkante beträgt innerorts 0.30-2.00 Meter, ausserorts 0.50-2.00 Meter, in besonderen Fällen maximal 3.50 Meter (Abs. 4 Satz 2).</w:t>
      </w:r>
    </w:p>
    <w:p>
      <w:r>
        <w:rPr>
          <w:b/>
        </w:rPr>
        <w:t>E. 2.3</w:t>
      </w:r>
    </w:p>
    <w:p>
      <w:r>
        <w:t>Der Beschwerdeführer bringt zu Recht vor, die Tafel stehe entgegen der in Art. 106 Abs. 1 Satz 1 SSV aufgestellten Regel am linken statt am rechten Strassenrand. Aus dem angefochtenen Urteil geht auch nicht hervor, ob ein zwingender Ausnahmefall vorliegt, der ein Anbringen des Signals am linken Strassenrand erlauben würde. Dies führt vorliegend jedoch nicht zur Unbeachtlichkeit der Signalisation. Denn die Vorinstanz erwägt, dass das Signal "Höchstgeschwindigkeit 50 generell" bei der Einfahrt nach Remetschwil deutlich und bereits von Weitem erkennbar gewesen sei. Daran ändere die Signalisation auf der linken Strassenseite nichts. Die Strasse sei an dieser Stelle derart schmal, dass sie nur einspurig befahren werden könne. Dadurch sei der Fahrzeuglenker gezwungen, seine Geschwindigkeit entsprechend zu verlangsamen (angefochtenes Urteil S. 5 und S. 8 ff.). Soweit der Beschwerdeführer in seiner Beschwerde vom Gegenteil ausgeht, ist er von vornherein nicht zu hören, da er damit von der vorinstanzlichen Sachverhaltsfeststellung abweicht, ohne jedoch Willkür geltend zu machen oder darzutun. Die örtlichen Verhältnisse liessen ein leichtes und rechtzeitiges Erkennen des Signals ohne Weiteres zu. Der Beschwerdeführer war daher verpflichtet, dem erkennbaren Signal Folge zu leisten. Ohnehin musste er bereits anhand der Einfahrt über die Zopfstrasse, der Überbauungen sowie der schmalen Strassenführung davon ausgehen, dass er innerorts unterwegs war (vgl. Art. 4a Abs. 2 VRV ).</w:t>
      </w:r>
    </w:p>
    <w:p>
      <w:r>
        <w:rPr>
          <w:b/>
        </w:rPr>
        <w:t>E. 3</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