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6B_1463/2019 vom 20. Februar 2020</w:t>
      </w:r>
    </w:p>
    <w:p>
      <w:r>
        <w:t>Bundesgericht, 2020-02-20, FR</w:t>
      </w:r>
    </w:p>
    <w:p>
      <w:r>
        <w:rPr>
          <w:b/>
        </w:rPr>
        <w:t xml:space="preserve">Quelle: </w:t>
      </w:r>
      <w:r>
        <w:t>https://mcp.opencaselaw.ch/entscheid/bger_6B_1463_2019</w:t>
      </w:r>
    </w:p>
    <w:p>
      <w:r>
        <w:t>FR: TF 6B_1463/2019 du 20 février 2020</w:t>
      </w:r>
    </w:p>
    <w:p>
      <w:r>
        <w:t>IT: TF 6B_1463/2019 del 20 febbraio 2020</w:t>
      </w:r>
    </w:p>
    <w:p>
      <w:pPr>
        <w:pStyle w:val="Heading2"/>
      </w:pPr>
      <w:r>
        <w:t>Erwägungen</w:t>
      </w:r>
    </w:p>
    <w:p>
      <w:r>
        <w:rPr>
          <w:b/>
        </w:rPr>
        <w:t>E. 1.1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 6B_707/2019 du 29 novembre 2019 consid. 1).</w:t>
      </w:r>
    </w:p>
    <w:p>
      <w:r>
        <w:t>En l'espèce, le recourant conclut uniquement à l'annulation du jugement attaqué et au renvoi de la cause à l'autorité précédente pour nouvelle décision. Une telle manière de faire n'est en principe pas admissible. Les motifs du recours permettent toutefois de comprendre que le recourant souhaite être exempté de toute peine. Cela suffit tout juste pour satisfaire aux exigences de forme déduites de l' art. 42 al. 1 et 2 LTF (cf. ATF 137 II 313 consid. 1.3 p. 317; arrêt 6B_707/2019 précité consid. 1).</w:t>
      </w:r>
    </w:p>
    <w:p>
      <w:r>
        <w:rPr>
          <w:b/>
        </w:rPr>
        <w:t>E. 1.2</w:t>
      </w:r>
    </w:p>
    <w:p>
      <w:r>
        <w:t>Le recours s'ouvre sur un exposé des faits, sans aucune motivation justifiant en quoi les conditions de l' art. 97 al. 1 LTF seraient remplies. Il n'y a pas lieu de s'y arrêter.</w:t>
      </w:r>
    </w:p>
    <w:p>
      <w:r>
        <w:rPr>
          <w:b/>
        </w:rPr>
        <w:t>E. 1.3</w:t>
      </w:r>
    </w:p>
    <w:p>
      <w:r>
        <w:t>En tant que le recourant requiert la récusation de " l'ensemble des membres du Tribunal fédéral ", sa demande du 10 janvier 2020, formulée en bloc, est manifestement abusive et peut, en tant que telle, être écartée par la juridiction même qui est visée ( ATF 129 III 445 consid. 4.2.2 p. 464).</w:t>
      </w:r>
    </w:p>
    <w:p>
      <w:r>
        <w:rPr>
          <w:b/>
        </w:rPr>
        <w:t>E. 2</w:t>
      </w:r>
    </w:p>
    <w:p>
      <w:r>
        <w:t>Le recourant reproche à la cour cantonale de ne pas l'avoir exempté de toute peine en raison de son état de santé et de la violation du principe de célérité.</w:t>
      </w:r>
    </w:p>
    <w:p>
      <w:r>
        <w:rPr>
          <w:b/>
        </w:rPr>
        <w:t>E. 2.1.1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136 IV 55 consid. 5 p. 57 ss; 134 IV 17 consid. 2.1 p. 19 s.). 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144 IV 313 consid. 1.2 p. 319).</w:t>
      </w:r>
    </w:p>
    <w:p>
      <w:r>
        <w:t>Lors de la fixation de la peine, le juge doit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que pour la moyenne des autres condamnés, par exemple en présence de maladies graves, de psychoses claustrophobiques ou de surdimutité (cf. arrêts 6B_1299/2016 du 27 septembre 2017 consid. 2.3.3; 6B_71/2016 du 5 avril 2017 consid. 4.2). Dans certains cas, le grand âge de l'auteur pourra aussi influer sur la sensibilité à la peine. Il a cependant été jugé que l'âge de 70 ans n'était pas suffisamment avancé pour être pris en considération (cf. arrêts 6B_1299/2016 du 27 septembre 2017 consid. 2.3.3; 6S.2/2006 du 7 mars 2006 consid. 1.2; voir également arrêt 6B_1276/2015 du 29 juin 2016 consid. 2).</w:t>
      </w:r>
    </w:p>
    <w:p>
      <w:r>
        <w:rPr>
          <w:b/>
        </w:rPr>
        <w:t>E. 2.1.2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p. 56 s.). La violation du principe de la célérité peut avoir pour conséquence la diminution de la peine, parfois l'exemption de toute peine ou encore une ordonnance de classement en tant qu'ultima ratio dans les cas les plus extrêmes ( ATF 143 IV 373 consid. 1.4.1 p. 377 s.; 135 IV 12 consid 3.6 p. 26). Il incombe au juge d'indiquer comment et dans quelle mesure il a tenu compte de cette circonstance ( ATF 117 IV 124 consid. 3 et 4 p. 126 ss; arrêts 6B_556/2017 du 15 mars 2018 consid. 3.1; 6B_790/2017 du 18 décembre 2017 consid. 2.3.2).</w:t>
      </w:r>
    </w:p>
    <w:p>
      <w:r>
        <w:t>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 ATF 117 IV 124 consid. 4e p. 129 s.; arrêt 6B_790/2017 du 18 décembre 2017 consid. 2.3.2).</w:t>
      </w:r>
    </w:p>
    <w:p>
      <w:r>
        <w:rPr>
          <w:b/>
        </w:rPr>
        <w:t>E. 2.2</w:t>
      </w:r>
    </w:p>
    <w:p>
      <w:r>
        <w:t>La cour cantonale a retenu que, sur le plan médical, la situation du recourant, âgé de 70 ans, souffrant de céphalées et ayant besoin d'être physiquement actif, n'était pas telle qu'elle démontrerait une sensibilité accrue à la sanction et justifierait de renoncer à prononcer une peine privative de liberté.</w:t>
      </w:r>
    </w:p>
    <w:p>
      <w:r>
        <w:t>Par ailleurs, dans un développement précis et détaillé, la cour cantonale a admis que la durée de la procédure pénale cantonale (plus de 6 ans depuis l'ouverture de l'instruction) pour une affaire ne présentant pas de complexité particulière, était clairement constitutive d'une violation du principe de célérité. Elle a toutefois considéré que le retard injustifié et l'attente qui en a découlé pour le recourant ne constituaient pas une sanction telle qu'une peine semblât inappropriée. En effet, alors qu'il avait été condamné en 2008 pour des faits de calomnie et de contrainte, le recourant avait déposé, les 17 novembre, 24 novembre, 31 décembre 2014 et 7 janvier 2015 (à savoir peu après le dispositif du jugement de première instance), des liasses de pièces dans lesquelles il réitérait ses agissements en désignant nominativement la partie plaignante, de sorte qu'il ne semblait pas avoir été gravement atteint par le retard pris dans la procédure. En outre, la " menace constante " de la peine qu'il encourait ne semblait pas avoir été suffisamment dissuasive pour l'empêcher de renouveler ses allégations. Par ailleurs, la cour cantonale a pris en compte les intérêts du lésé, contre lequel le recourant avait agi sans retenue en se livrant à une campagne de dénigrement systématique et durable, dans une volonté claire de lui nuire et d'anéantir sa réputation. Sur la base de ces éléments, la cour cantonale a réduit la peine privative de liberté de 50 jours à 15 jours en prenant en compte la violation du principe de célérité.</w:t>
      </w:r>
    </w:p>
    <w:p>
      <w:r>
        <w:rPr>
          <w:b/>
        </w:rPr>
        <w:t>E. 2.3.1</w:t>
      </w:r>
    </w:p>
    <w:p>
      <w:r>
        <w:t>Le recourant ne prétend ni ne démontre que la cour cantonale aurait arbitrairement omis un fait relatif à sa situation médicale. Or, sur la seule base des éléments retenus par la cour cantonale qui lient le Tribunal fédéral ( art. 105 al. 1 LTF ), l'on ne saurait retenir que la sanction prononcée serait considérablement plus dure pour le recourant que pour la moyenne des autres condamnés, étant précisé que rien n'exclut qu'il pourra bénéficier d'antalgiques et de promenades régulières en détention.</w:t>
      </w:r>
    </w:p>
    <w:p>
      <w:r>
        <w:t>Pour le surplus, le recourant ne saurait rien déduire en sa faveur, dans le cadre de la fixation de la peine, du fait qu'il a été dispensé de comparaître à l'audience d'appel, à sa propre demande (cf. art. 336 al. 3 CPP ).</w:t>
      </w:r>
    </w:p>
    <w:p>
      <w:r>
        <w:rPr>
          <w:b/>
        </w:rPr>
        <w:t>E. 2.3.2</w:t>
      </w:r>
    </w:p>
    <w:p>
      <w:r>
        <w:t>Contrairement à ce que prétend le recourant, la cour cantonale a admis un retard injustifié imputable aux autorités pénales, constituant clairement une violation du principe de célérité tout en précisant que le recourant avait déposé des écrits et des pièces denses à étudier (jugement cantonal consid. 4b p. 10 s). La cour cantonale a également procédé à une appréciation d'ensemble, relevant qu'à compter du jour d'ouverture de l'instruction, la procédure pénale cantonale avait duré 6 ans. Il n'y a pas lieu de retenir une durée de 8 ans, comme le prétend le recourant, lequel inclut la procédure devant le Tribunal fédéral et la procédure de renvoi.</w:t>
      </w:r>
    </w:p>
    <w:p>
      <w:r>
        <w:t>Pour le surplus, la cour cantonale a pris en compte tous les éléments pertinents pour déterminer les conséquences de la violation du principe de la célérité, ce que le recourant ne conteste d'ailleurs pas. Conformément au droit fédéral, le recourant a bénéficié d'une diminution de peine, diminution au demeurant très généreuse, compte tenu des critères retenus. Aussi, le recourant ne saurait être suivi en tant qu'il prétend que la violation du principe de célérité aurait dû donner lieu à une exemption de peine.</w:t>
      </w:r>
    </w:p>
    <w:p>
      <w:r>
        <w:rPr>
          <w:b/>
        </w:rPr>
        <w:t>E. 2.4</w:t>
      </w:r>
    </w:p>
    <w:p>
      <w:r>
        <w:t>Au vu de ce qui précède, le recours doit être rejeté dans la mesure où il est recevable. Le recourant, qui succombe, supporte les frais judiciaires qui seront fixés en tenant compte des circonstances du cas d'espèce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