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6B_145/2020 vom 28. Februar 2020</w:t>
      </w:r>
    </w:p>
    <w:p>
      <w:r>
        <w:t>Bundesgericht, 2020-02-28, FR</w:t>
      </w:r>
    </w:p>
    <w:p>
      <w:r>
        <w:rPr>
          <w:b/>
        </w:rPr>
        <w:t xml:space="preserve">Quelle: </w:t>
      </w:r>
      <w:r>
        <w:t>https://mcp.opencaselaw.ch/entscheid/bger_6B_145_2020</w:t>
      </w:r>
    </w:p>
    <w:p>
      <w:r>
        <w:t>FR: TF 6B_145/2020 du 28 février 2020</w:t>
      </w:r>
    </w:p>
    <w:p>
      <w:r>
        <w:t>IT: TF 6B_145/2020 del 28 febbraio 2020</w:t>
      </w:r>
    </w:p>
    <w:p>
      <w:pPr>
        <w:pStyle w:val="Heading2"/>
      </w:pPr>
      <w:r>
        <w:t>Erwägungen</w:t>
      </w:r>
    </w:p>
    <w:p>
      <w:r>
        <w:rPr>
          <w:b/>
        </w:rPr>
        <w:t>E. 1</w:t>
      </w:r>
    </w:p>
    <w:p>
      <w:r>
        <w:t>Par arrêt du 19 décembre 2019, la Chambre pénale d'appel et de révision de la Cour de justice genevoise a rejeté l'appel formé par A.________ contre le jugement du Tribunal de police la condamnant pour voies de fait, à une amende de 200 fr. et aux frais de la procédure.</w:t>
      </w:r>
    </w:p>
    <w:p>
      <w:r>
        <w:t>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La recourante ne formule aucune conclusion. En outre, son argumentation consiste uniquement en une vaste rediscussion des faits. Ce faisant, elle ne fait qu'opposer sa propre version à celle de la cour cantonale, dans une démarche purement appellatoire. Il en va de même lorsque la recourante se fonde sur des faits non constatés dans l'arrêt attaqué - par ailleurs sans grand lien avec la présente cause - sans qu'elle ne cherche à démontrer qu'ils auraient été arbitrairement omis. Les critiques de la recourante ne répondent ainsi pas aux exigences de motivation accrues de l' art. 106 al. 2 LTF et sont, par conséquent, irrecevables. Pour le surplus, la recourante ne démontre aucunement en quoi les considérations cantonales violeraient le droit et ne présente aucun grief répondant aux exigences de motivation de l' art. 42 al. 2 LTF .</w:t>
      </w:r>
    </w:p>
    <w:p>
      <w:r>
        <w:rPr>
          <w:b/>
        </w:rPr>
        <w:t>E. 3</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