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6B_145/2014 vom 25. Juni 2014</w:t>
      </w:r>
    </w:p>
    <w:p>
      <w:r>
        <w:t>Bundesgericht, 2014-06-25, FR</w:t>
      </w:r>
    </w:p>
    <w:p>
      <w:r>
        <w:rPr>
          <w:b/>
        </w:rPr>
        <w:t xml:space="preserve">Quelle: </w:t>
      </w:r>
      <w:r>
        <w:t>https://mcp.opencaselaw.ch/entscheid/bger_6B_145_2014</w:t>
      </w:r>
    </w:p>
    <w:p>
      <w:r>
        <w:t>FR: TF 6B_145/2014 du 25 juin 2014</w:t>
      </w:r>
    </w:p>
    <w:p>
      <w:r>
        <w:t>IT: TF 6B_145/2014 del 25 giugno 2014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138 IV 186 consid. 1.4.1 p. 189 ; 137 IV 219 consid. 2.4 p. 222 s.).</w:t>
      </w:r>
    </w:p>
    <w:p>
      <w:r>
        <w:rPr>
          <w:b/>
        </w:rPr>
        <w:t>E. 1.2</w:t>
      </w:r>
    </w:p>
    <w:p>
      <w:r>
        <w:t>Le recourant ne fournit aucune indication sur les prétentions qu'il entend faire valoir. Il n'explique pas en quoi les voies de fait invoquées, même commises sur un jeune enfant, seraient notamment susceptibles de fonder une indemnité pour tort moral. 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1B_648/2012 du 11 juillet 2013 consid. 1.2). Faute d'explication et en considération de l'infraction invoquée, on ne perçoit pas en l'espèce en quoi celle-ci pourrait déboucher sur une indemnisation du tort moral. Le mémoire de recours ne répond ainsi pas aux exigences minimales de l' art. 42 LTF .</w:t>
      </w:r>
    </w:p>
    <w:p>
      <w:r>
        <w:t>Il s'ensuit que l'absence d'explication suffisante sur les prétentions civiles exclut la qualité pour recourir du recourant. Le recours est donc irrecevable en tant qu'il porte sur le fond de la cause.</w:t>
      </w:r>
    </w:p>
    <w:p>
      <w:r>
        <w:rPr>
          <w:b/>
        </w:rPr>
        <w:t>E. 1.3</w:t>
      </w:r>
    </w:p>
    <w:p>
      <w:r>
        <w:t>Le recourant pourrait le cas échéant être habilité à se plaindre d'une violation de ses droits de partie équivalant à un déni de justice formel, sans toutefois pouvoir faire valoir par ce biais, même indirectement, des moyens qui ne peuvent être séparés du fond ( ATF 136 IV 29 consid. 1.9 p. 40 et les références citées). En l'occurrence, le recourant se plaint de l'absence de suite donnée aux mesures d'instruction qu'il a requises. Par ce biais, il entend toutefois établir le fondement de ses accusations, de sorte que ce grief ne peut être séparé du fond et ne saurait, partant, fonder sa qualité pour recourir.</w:t>
      </w:r>
    </w:p>
    <w:p>
      <w:r>
        <w:rPr>
          <w:b/>
        </w:rPr>
        <w:t>E. 2</w:t>
      </w:r>
    </w:p>
    <w:p>
      <w:r>
        <w:t>Faute de qualité pour recourir, le recours est irrecevable et doit être écarté en application de l' art. 108 al. 1 let. b LTF . Le recours étant d'emblée dénué de chances de succès, l'assistance judiciaire doit être refusée ( art. 64 al. 1 LTF ). Le recourant supporte les frais de la cause, réduits pour tenir compte de sa situation financière.</w:t>
      </w:r>
    </w:p>
    <w:p>
      <w:r>
        <w:t>L'intimé a sollicité l'assistance judiciaire. Le recours a été écarté en procédure simplifiée ( art. 108 LTF ) sans qu'un échange d'écritures n'ait été ordonné ( art. 102 LTF ), autrement dit sans que l'intimé n'ait été invité à se déterminer sur le recours. Dans ces conditions, sa demande d'assistance judiciaire doit être rejetée.</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