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6B_1459/2020 vom 7. April 2021</w:t>
      </w:r>
    </w:p>
    <w:p>
      <w:r>
        <w:t>Bundesgericht, 2021-04-07, FR</w:t>
      </w:r>
    </w:p>
    <w:p>
      <w:r>
        <w:rPr>
          <w:b/>
        </w:rPr>
        <w:t xml:space="preserve">Quelle: </w:t>
      </w:r>
      <w:r>
        <w:t>https://mcp.opencaselaw.ch/entscheid/bger_6B_1459_2020</w:t>
      </w:r>
    </w:p>
    <w:p>
      <w:r>
        <w:t>FR: TF 6B_1459/2020 du 7 avril 2021</w:t>
      </w:r>
    </w:p>
    <w:p>
      <w:r>
        <w:t>IT: TF 6B_1459/2020 del 7 aprile 2021</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le recours émane de plusieurs parties plaignantes qui procèdent ensemble, elles doivent chacune individuellement exposer quel est leur dommage (arrêts 6B_1026/2019 du 3 octobre 2019 consid. 3; 6B_711/2019 du 25 juin 2019 consid. 2.1; 6B_936/2013 du 14 février 2014 consid. 1.2).</w:t>
      </w:r>
    </w:p>
    <w:p>
      <w:r>
        <w:rPr>
          <w:b/>
        </w:rPr>
        <w:t>E. 1.2</w:t>
      </w:r>
    </w:p>
    <w:p>
      <w:r>
        <w:t>Les recourantes n'exposent pas en quoi consisteraient leurs éventuelles prétentions civiles respectives. Elles font tout au plus état d'un dommage, qu'elles ne chiffrent pas, découlant d'une diminution de leur chiffre d'affaires qu'elles imputent au dénigrement de leur produit par C.________. Cette seule indication, très vague, ne permet pas encore de comprendre en quoi consisterait le préjudice financier de la personne morale susceptible de faire l'objet d'une réparation, étant de surcroît rappelé qu'en matière d'infraction à la LCD, la procédure pénale n'a pas pour vocation de déterminer l'étendue des obligations contractuelles respectives des parties (cf. arrêt 6B_307/2015 du 5 mai 2015 consid. 4 et la référence citée). De plus, les recourantes, qui agissent conjointement, n'exposent pas en quoi consisterait individuellement le préjudice qu'elles auraient chacune subi. Pour le reste, dans la mesure où les recourantes évoquent un dommage découlant de leurs frais d'avocat, elles méconnaissent que, selon une jurisprudence bien établie, les frais liés aux démarches judiciaires de la partie plaignante ne sauraient constituer des prétentions civiles au sens de l'art. 81 al. 1 let. a et b ch. 5 LTF en tant qu'ils ne découlent pas directement de l'infraction (cf. parmi d'autres: arrêts 6B_152/2021 du 22 février 2021 consid. 2.2; 6B_996/2020 du 2 février 2021 consid. 1.2; 6B_290/2020 du 17 juillet 2020 consid. 1.2).</w:t>
      </w:r>
    </w:p>
    <w:p>
      <w:r>
        <w:t>En conclusion, l'absence d'explication suffisante sur les prétentions civiles exclut la qualité pour recourir des recourantes sur le fond de la cause en application de l' art. 81 al. 1 let. a et b LTF .</w:t>
      </w:r>
    </w:p>
    <w:p>
      <w:r>
        <w:rPr>
          <w:b/>
        </w:rPr>
        <w:t>E. 1.3</w:t>
      </w:r>
    </w:p>
    <w:p>
      <w:r>
        <w:t>Par ailleurs, les recourantes ne soulèvent aucun grief quant à leur droit de porter plainte, de sorte que l'hypothèse visée à l'art. 81 al. 1 let. b ch. 6 LTF n'entre pas en considération.</w:t>
      </w:r>
    </w:p>
    <w:p>
      <w:r>
        <w:rPr>
          <w:b/>
        </w:rPr>
        <w:t>E. 1.4</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 ATF 141 IV 1 consid. 1.1 p. 5).</w:t>
      </w:r>
    </w:p>
    <w:p>
      <w:r>
        <w:t>En l'espèce, les recourantes font grief à la cour cantonale d'avoir dénié la compétence des autorités judiciaires pénales suisses (cf. art. 3 à 8 CP), dont le défaut constitue un empêchement de procéder devant conduire au classement de la procédure ( art. 329 al. 4 CPP ) et critiquent également les faits retenus à cet égard. Dans cette mesure, les recourantes ne soulèvent aucun grief distinct du fond (cf. arrêt 6B_1425/2019 du 9 juin 2020 consid. 1.3). Elles n'ont donc pas non plus qualité pour recourir sous cet angle.</w:t>
      </w:r>
    </w:p>
    <w:p>
      <w:r>
        <w:rPr>
          <w:b/>
        </w:rPr>
        <w:t>E. 2</w:t>
      </w:r>
    </w:p>
    <w:p>
      <w:r>
        <w:t>Au vu de ce qui précède, l'irrecevabilité du recours est manifeste. Elle doit être constatée dans la procédure prévue par l' art. 108 al. 1 let. a et b LTF . Les recourantes, qui succombent, supportent les frais judiciaires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