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1455/2021 vom 11. Januar 2023</w:t>
      </w:r>
    </w:p>
    <w:p>
      <w:r>
        <w:t>Bundesgericht, 2023-01-11, FR</w:t>
      </w:r>
    </w:p>
    <w:p>
      <w:r>
        <w:rPr>
          <w:b/>
        </w:rPr>
        <w:t xml:space="preserve">Quelle: </w:t>
      </w:r>
      <w:r>
        <w:t>https://mcp.opencaselaw.ch/entscheid/bger_6B_1455_2021</w:t>
      </w:r>
    </w:p>
    <w:p>
      <w:r>
        <w:t>FR: TF 6B 1455/2021 du 11 janvier 2023</w:t>
      </w:r>
    </w:p>
    <w:p>
      <w:r>
        <w:t>IT: TF 6B 1455/2021 del 11 gennaio 2023</w:t>
      </w:r>
    </w:p>
    <w:p>
      <w:pPr>
        <w:pStyle w:val="Heading2"/>
      </w:pPr>
      <w:r>
        <w:t>Regeste</w:t>
      </w:r>
    </w:p>
    <w:p>
      <w:r>
        <w:t>Opposition à une ordonnnance pénale; droit à un procès équitable | Procédure pénale</w:t>
      </w:r>
    </w:p>
    <w:p>
      <w:pPr>
        <w:pStyle w:val="Heading2"/>
      </w:pPr>
      <w:r>
        <w:t>Erwägungen</w:t>
      </w:r>
    </w:p>
    <w:p>
      <w:r>
        <w:rPr>
          <w:b/>
        </w:rPr>
        <w:t>E. 1</w:t>
      </w:r>
    </w:p>
    <w:p>
      <w:r>
        <w:t>Invoquant l' art. 6 par. 1 CEDH , en lien avec l' art. 85 al. 4 let. a CPP , le recourant conteste l'application de la fiction de notification prévue par cette disposition. Il soutient avoir été privé de son droit à être jugé par un tribunal et prétend avoir subi une violation de son droit à un procès équitable.</w:t>
      </w:r>
    </w:p>
    <w:p>
      <w:r>
        <w:rPr>
          <w:b/>
        </w:rPr>
        <w:t>E. 1.1</w:t>
      </w:r>
    </w:p>
    <w:p>
      <w:r>
        <w:t>Selon l' art. 85 al. 4 let. a CPP ,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Il est admis que la personne concernée doit s'attendre à la remise d'un prononcé lorsqu'elle est au courant qu'elle fait l'objet d'une instruction pénale au sens de l' art. 309 CPP ( ATF 146 IV 30 consid. 1.1.2; arrêts 6B_428/2022 du 14 décembre 2022 consid. 1.1; 6B_1154/2021 du 10 octobre 2022 consid. 1.1 et les arrêts cités).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6B_1154/2021 précité consid. 1.1; 6B_1391/2021 du 25 avril 2022 consid. 1.1 et les arrêts cités).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rPr>
          <w:b/>
        </w:rPr>
        <w:t>E. 1.2</w:t>
      </w:r>
    </w:p>
    <w:p>
      <w:r>
        <w:t>En l'espèce, la cour cantonale a considéré que la question posée par la présente cause était celle de savoir si le recourant pouvait considérer, à réception de l'ordonnance pénale n° 4609805 du 22 juillet 2020, que la procédure ayant pour objet les faits du 27 juin 2020 n'était pas close. Elle a relevé à cet égard que le recourant avait pu constater, à réception de la première ordonnance pénale, que les infractions qui lui étaient reprochées étaient celles " d'avoir, le samedi 27 juin 2020, à 14h25, au niveau du xx, quai U.________, roulé sur le trottoir malgré l'interdiction, ne pas avoir utilisé la piste cyclable et avoir refusé d'obtempérer à une injonction d'un membre de la police ou d'un agent de la police municipale " et non les infractions subséquentes qui visaient notamment le fait d'avoir causé un accident en percutant la moto du policier et d'avoir refusé, en prenant la fuite, de remplir ses devoirs en cas d'accident, malgré l'injonction de s'arrêter et de procéder au constat. Il savait, selon les juges précédents, que son identité était connue de la police à la suite de son interpellation et devait ainsi s'attendre à recevoir une décision concernant les infractions commises ensuite. Toujours selon les juges précédents, il importait peu qu'il y ait eu une erreur de date sur la seconde ordonnance pénale (dimanche 7 juin 2020 au lieu de samedi 27 juin 2020), puisque le recourant n'était pas allé la retirer à la poste et n'avait pas pu conditionner le non-retrait à ladite erreur, laquelle aurait pu être invoquée si le tribunal de police avait dû statuer sur le fond. Dans ces circonstances, le recourant devait prendre les mesures particulières, s'il était en vacances - ce qui n'était pas établi - pour réceptionner son courrier, et en particulier cette décision. Vu la notification fictive intervenue le 18 août 2020, l'opposition formée le 6 novembre suivant était tardive, ainsi que cela avait été retenu à bon droit en première instance.</w:t>
      </w:r>
    </w:p>
    <w:p>
      <w:r>
        <w:rPr>
          <w:b/>
        </w:rPr>
        <w:t>E. 1.3</w:t>
      </w:r>
    </w:p>
    <w:p>
      <w:r>
        <w:t>Le recourant objecte, en substance, qu'après s'être acquitté de l'amende prononcée dans le cadre de la première ordonnance pénale le concernant, il était fondé à considérer que la procédure était close et qu'il ne devait plus s'attendre à recevoir un nouveau prononcé. Il fait également valoir que la police et le SdC n'ont entrepris aucune démarche pour le convoquer, ni pour l'informer que le "prétendu contact", selon ses dires, avec la valise arrière gauche de la moto, aboutirait au prononcé d'une seconde ordonnance pénale. Il prétend par conséquent, qu'il ne pouvait s'attendre à recevoir un tel prononcé, tout en ajoutant qu'il n'est nullement établi qu'il était conscient d'avoir causé un accident.</w:t>
      </w:r>
    </w:p>
    <w:p>
      <w:r>
        <w:rPr>
          <w:b/>
        </w:rPr>
        <w:t>E. 1.4</w:t>
      </w:r>
    </w:p>
    <w:p>
      <w:r>
        <w:t>Il convient en premier lieu de relever que le recourant invoque certes l' art. 6 par. 1 CEDH , mais ne développe en réalité aucune motivation spécifique sous cet angle (cf. art. 42 al. 2 et 106 al. 2 LTF). Son argumentation se concentre sur l'application à son égard de la fiction de notification prévue par l' art. 85 al. 4 let. a CPP , dont il conteste la réalisation des conditions. Sur ce plan, la discussion qu'il propose revient toutefois, à différents égards, notamment lorsqu'il évoque un "prétendu contact" avec le véhicule de police ou lorsqu'il fait valoir qu'il serait nullement établi qu'il avait conscience d'avoir causé un accident, à discuter librement, partant de façon appellatoire et irrecevable ( art. 106 al. 2 LTF ), les constatations cantonales. Or, sur la base de ces dernières, qui lient le Tribunal fédéral ( art. 105 al. 1 LTF ), les juges précédents étaient fondés à considérer deux circonstances intrinsèquement distinctes, soit d'une part l'interpellation liée au fait d'avoir circulé sur un trottoir malgré l'interdiction, puis, d'autre part, après l'interpellation, la collision avec la moto de police et la fuite consécutive. Il ressort sur ce plan de l'arrêt attaqué ( art. 105 al. 1 LTF ) que le policier a ordonné au recourant de s'arrêter en raison de l'accident qu'il avait provoqué et de se soumettre à un contrôle d'alcoolémie, mais que ce dernier a toutefois pris la fuite. De ce fait et compte tenu également de la teneur de la première ordonnance pénale reçue antérieurement, qui ne couvrait que le premier événement, le recourant devait s'attendre à ce que les faits relatifs à la collision avec la moto de police et son comportement subséquent, consistant à prendre la fuite, comportent des suites sur le plan pénal. Dans ces circonstances, la cour cantonale n'a pas violé le droit fédéral en considérant que les conditions de l' art. 85 al. 4 CPP étaient réalisées et en confirmant l'irrecevabilité de l'opposition du recourant pour cause de tardiveté. Ses griefs s'avèrent par conséquent mal fondés et doivent être rejetés, dans la mesure de leur recevabilité.</w:t>
      </w:r>
    </w:p>
    <w:p>
      <w:r>
        <w:rPr>
          <w:b/>
        </w:rPr>
        <w:t>E. 2</w:t>
      </w:r>
    </w:p>
    <w:p>
      <w:r>
        <w:t>Il s'ensuit que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