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1455/2020 vom 7. Januar 2021</w:t>
      </w:r>
    </w:p>
    <w:p>
      <w:r>
        <w:t>Bundesgericht, 2021-01-07, FR</w:t>
      </w:r>
    </w:p>
    <w:p>
      <w:r>
        <w:rPr>
          <w:b/>
        </w:rPr>
        <w:t xml:space="preserve">Quelle: </w:t>
      </w:r>
      <w:r>
        <w:t>https://mcp.opencaselaw.ch/entscheid/bger_6B_1455_2020</w:t>
      </w:r>
    </w:p>
    <w:p>
      <w:r>
        <w:t>FR: TF 6B 1455/2020 du 7 janvier 2021</w:t>
      </w:r>
    </w:p>
    <w:p>
      <w:r>
        <w:t>IT: TF 6B 1455/2020 del 7 gennaio 2021</w:t>
      </w:r>
    </w:p>
    <w:p>
      <w:pPr>
        <w:pStyle w:val="Heading2"/>
      </w:pPr>
      <w:r>
        <w:t>Regeste</w:t>
      </w:r>
    </w:p>
    <w:p>
      <w:r>
        <w:t>Irrecevabilité formelle du recours en matière pénale, motivation insuffisante (ordonnance pénale, défaut à une audience, retrait d'opposition) | Procédure pénale</w:t>
      </w:r>
    </w:p>
    <w:p>
      <w:pPr>
        <w:pStyle w:val="Heading2"/>
      </w:pPr>
      <w:r>
        <w:t>Erwägungen</w:t>
      </w:r>
    </w:p>
    <w:p>
      <w:r>
        <w:rPr>
          <w:b/>
        </w:rPr>
        <w:t>E. 1</w:t>
      </w:r>
    </w:p>
    <w:p>
      <w:r>
        <w:t>Par acte du 16 décembre 2020, A.________ recourt en matière pénale au Tribunal fédéral contre un arrêt du 16 novembre 2020, par lequel la Chambre pénale du Tribunal cantonal fribourgeois a rejeté, dans la mesure de sa recevabilité, le recours formé par l'intéressé contre une ordonnance du 16 septembre 2020. Par cette dernière, la Juge de police de la Gruyère a constaté que, dûment convoqué, A.________ n'avait pas comparu à une audience du 16 septembre 2020. La magistrate a, partant, pris acte du retrait de l'opposition formée par l'intéressé le 11 février 2020 à une ordonnance pénale du 31 janvier 2020 le concernant et a constaté que cette dernière décision avait acquis force exécutoire. Par courrier du 17 décembre 2020, A.________ a été invité, en tant qu'il demandait à consulter le dossier de la cause, à s'adresser aux autorités cantonales.</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 En l'espèce, A.________ explique avoir "constaté beaucoup de lacunes à éclaircir" et être en possession de certificats médicaux postérieurs au 4 septembre 2020 qui n'auraient pas été pris en compte ainsi que "d'autres éléments contradictoires" qu'il entend transmettre au Tribunal fédéral "au moment opportun". Certains éléments seraient "incorrects", "manqueraient de précision" ou seraient même "mensongers". D'éventuelles pièces nouvelles sont irrecevables en procédure fédérale ( art. 99 al. 1 LTF ), si bien que le recourant ne pourrait, de toute manière rien en déduire en sa faveur dans le recours en matière pénale des certificats médicaux postérieurs au 4 septembre 2020 qu'il allègue posséder et vouloir produire. Pour le surplus, la cour cantonale a exposé que les pièces médicales produites devant elle (alors qu'elles auraient dû l'être en première instance) ne portaient pas sur la possibilité ou non du recourant de se rendre à l'audience du 16 septembre 2020. L'une, préconisait un travail d'intérêt général plutôt qu'une peine privative de liberté, et la seconde n'attestait une incapacité de travail à 100 % que jusqu'au 4 septembre 2020. La seule affirmation que certains éléments seraient "incorrects", "manqueraient de précision" ou seraient même "mensongers", n'est pas de nature à démontrer l'existence d'une violation du droit fédéral ( art. 42 al. 1 et 2 LTF ), notamment dans la perspective d'un excès du pouvoir d'appréciation, et moins encore celle d'un droit fondamental du recourant ( art. 106 al. 2 LTF ).</w:t>
      </w:r>
    </w:p>
    <w:p>
      <w:r>
        <w:rPr>
          <w:b/>
        </w:rPr>
        <w:t>E. 3</w:t>
      </w:r>
    </w:p>
    <w:p>
      <w:r>
        <w:t>L'insuffisance de la motivation du recours est patente. L'irrecevabilité doit être constatée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