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1455/2017 vom 6. Juli 2018</w:t>
      </w:r>
    </w:p>
    <w:p>
      <w:r>
        <w:t>Bundesgericht, 2018-07-06, DE</w:t>
      </w:r>
    </w:p>
    <w:p>
      <w:r>
        <w:rPr>
          <w:b/>
        </w:rPr>
        <w:t xml:space="preserve">Quelle: </w:t>
      </w:r>
      <w:r>
        <w:t>https://mcp.opencaselaw.ch/entscheid/bger_6B_1455_2017</w:t>
      </w:r>
    </w:p>
    <w:p>
      <w:r>
        <w:t>FR: TF 6B 1455/2017 du 6 juillet 2018</w:t>
      </w:r>
    </w:p>
    <w:p>
      <w:r>
        <w:t>IT: TF 6B 1455/2017 del 6 luglio 2018</w:t>
      </w:r>
    </w:p>
    <w:p>
      <w:pPr>
        <w:pStyle w:val="Heading2"/>
      </w:pPr>
      <w:r>
        <w:t>Regeste</w:t>
      </w:r>
    </w:p>
    <w:p>
      <w:r>
        <w:t>Versuchter Betrug, Urkundenfälschung | Straftaten</w:t>
      </w:r>
    </w:p>
    <w:p>
      <w:pPr>
        <w:pStyle w:val="Heading2"/>
      </w:pPr>
      <w:r>
        <w:t>Erwägungen</w:t>
      </w:r>
    </w:p>
    <w:p>
      <w:r>
        <w:rPr>
          <w:b/>
        </w:rPr>
        <w:t>E. 1</w:t>
      </w:r>
    </w:p>
    <w:p>
      <w:r>
        <w:t>Der Beschwerdeführer macht eine Verletzung des Anklagegrundsatzes geltend. Der Tatzeitraum und die Tathandlungen seien zu eng angeklagt worden (Beschwerde S. 3). Der Beschwerdeführer erhebt diese Rüge erstmals vor Bundesgericht. Die Beschwerde in Strafsachen ist zulässig gegen verfahrensabschliessende Entscheide letzter kantonaler Instanzen ( Art. 80 Abs. 1 und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Dem Beschwerdeführer wäre es ohne Weiteres möglich und zumutbar gewesen, die Verletzung des Anklagegrundsatzes in einem früheren Stadium des Verfahrens einzuwenden. Dass er dies getan hat und die kantonalen Instanzen die Rüge nicht behandelt hätten, macht er nicht geltend. Die Rüge ist daher verspätet, so dass auf die Beschwerde in diesem Punkt nicht eingetreten werden kann. Weiter kritisiert der Beschwerdeführer, indem die Vorinstanz ihn wegen versuchten Betrugs in Mittäterschaft schuldig spreche, verletze sie den Anklagegrundsatz, da er lediglich wegen Gehilfenschaft zu versuchtem Betrug angeklagt worden sei (Beschwerde S. 3). Er scheint zu übersehen, dass das Gericht zwar an den in der Anklage umschriebenen Sachverhalt gebunden ist, nicht aber an die darin vorgenommene rechtliche Würdigung. Diese ist ausschliesslich Aufgabe des Gerichts ( Art. 350 Abs. 1 StPO ; Urteil 6B_254/2015 vom 27. August 2015 E. 3.1 mit Hinweisen).</w:t>
      </w:r>
    </w:p>
    <w:p>
      <w:r>
        <w:rPr>
          <w:b/>
        </w:rPr>
        <w:t>E. 2</w:t>
      </w:r>
    </w:p>
    <w:p>
      <w:r>
        <w:t>Der Beschwerdeführer bringt ferner vor, die Vorinstanz verletze des Unmittelbarkeitsprinzip, indem sie A.________ nicht als Zeugen einvernehme. Mit der Abweisung seines Editionsbegehrens verletze sie ausserdem seinen Anspruch auf rechtliches Gehör (Beschwerde S. 4). Auf die Beschwerde kann diesbezüglich ebenfalls nicht eingetreten werden. Der Beschwerdeführer setzt sich nicht mit den entsprechenden Ausführungen der Vorinstanz auseinander (Urteil S. 3 f.) und genügt damit den Begründungsanforderungen nicht ( Art. 42 Abs. 2 Satz 1 BGG ; BGE 136 I 65 E. 1.3.1 mit Hinweisen; 134 II 244 E. 2.1). Die Vorinstanz erwägt hierzu, A.________ sei in diesem Strafverfahren bereits als Zeuge und unter Wahrung der Teilnahmerechte des Beschwerdeführers befragt worden. Zudem sei kein klassisches Vier-Augen-Delikt zu beurteilen, bei dem es in besonderem Masse auf den unmittelbaren persönlichen Eindruck ankomme. Neben den Aussagen von A.________ bestünden nämlich schriftliche Dokumente und weitere Indizien. In Bezug auf das Editionsbegehren führt die Vorinstanz aus, dem Beschwerdeführer werde nicht vorgehalten, er habe den Umschlag mit den Kreditunterlagen der Bank geschickt. Es sei nicht relevant, ob er oder A.________ ihn der Post übergeben habe.</w:t>
      </w:r>
    </w:p>
    <w:p>
      <w:r>
        <w:rPr>
          <w:b/>
        </w:rPr>
        <w:t>E. 3.1</w:t>
      </w:r>
    </w:p>
    <w:p>
      <w:r>
        <w:t>Der Beschwerdeführer macht schliesslich geltend, der Tatbestand des Betrugs sei mangels Arglist nicht erfüllt. Der Gesichtspunkt der Überprüfbarkeit der Angaben erlange auch bei besonderen Machenschaften Bedeutung. Die Vorinstanz missachte die einzelfallgerechte Beurteilung der Sachlage. In den vergangenen Jahren habe es mehrere Fälle gegeben, in denen die B.________ Bank AG aufgrund gefälschter Anträge Kredite gewährt habe, weshalb die Bank ihr Kontrollsystem verfeinert habe. Es liege keine Arglist vor, wenn die Bank mit weiteren gefälschten Kreditanträgen rechnen müsse und somit vorgewarnt sei. Sie habe nicht darauf vertrauen dürfen, dass die von ihm oder A.________ zugestellten Kreditunterlagen echt seien. Insbesondere bei ungesicherten Krediten, die allein aufgrund der finanziellen Verhältnisse gewährt würden, bedürfe es einer genaueren Prüfung. Eine solche Prüfung sei nicht mit einem übertriebenen Aufwand verbunden und dürfe bei einer Bank, die über besondere Fachkenntnisse verfüge, durchaus verlangt werden (Beschwerde S. 5 f.).</w:t>
      </w:r>
    </w:p>
    <w:p>
      <w:r>
        <w:rPr>
          <w:b/>
        </w:rPr>
        <w:t>E. 3.2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 BGE 142 IV 153 E. 2.2; 135 IV 76 E. 5.2 mit Hinweisen). Gemäss Rechtsprechung ist das Merkmal der Arglist erfüllt, wenn der Täter seine falschen Angaben mit gefälschten Urkunden im Sinne von Art. 251 StGB stützt, da im geschäftlichen Verkehr grundsätzlich auf die Echtheit von Urkunden vertraut werden darf. Anders kann es sich verhalten, wenn sich aus den vorgelegten Urkunden selbst ernsthafte Anhaltspunkte für deren Unechtheit ergeben (Urteile 6B_163/2016 vom 25. Mai 2016 E. 3.4.2 und 6S.74/2006 vom 3. Juli 2006 E. 2.4.2).</w:t>
      </w:r>
    </w:p>
    <w:p>
      <w:r>
        <w:rPr>
          <w:b/>
        </w:rPr>
        <w:t>E. 3.3</w:t>
      </w:r>
    </w:p>
    <w:p>
      <w:r>
        <w:t>Die Vorinstanz erachtet das Merkmal der Arglist zu Recht als erfüllt. Es wurde ein Kreditantrag gestellt, der sich auf gefälschte Lohnabrechnungen stützte. Die Bank sollte mit den falschen Angaben und den gefälschten Dokumenten über die Zahlungs- und Kreditfähigkeit von A.________ getäuscht werden. Die Vorinstanz erwägt weiter zutreffend, grundsätzlich dürfe auch ein Kreditgeber seinen Kunden vertrauen. Lässt sich dieser die Zahlungsfähigkeit und das blanke Betreibungsregister durch entsprechende Dokumente belegen, ist er seiner sich aus der Opfermitverantwortung ergebenden Überprüfungspflicht grundsätzlich nachgekommen. Er darf sich dabei auf die Echtheit und Unverfälschtheit der vom Kreditnehmer eingereichten Unterlagen verlassen. Gemäss den vorinstanzlichen Feststellungen handelt es sich hier um sehr gute Fälschungen (Urteil S. 15 f. E. 1.2), weshalb sich aus den der Bank eingereichten Unterlagen selbst keine ernsthaften Anhaltspunkte für die Unechtheit ergeben.</w:t>
      </w:r>
    </w:p>
    <w:p>
      <w:r>
        <w:rPr>
          <w:b/>
        </w:rPr>
        <w:t>E. 4</w:t>
      </w:r>
    </w:p>
    <w:p>
      <w:r>
        <w:t>Die Beschwerde ist somit abzuweisen, soweit darauf eingetreten werden kann.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